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0 -->
  <w:body>
    <w:p w14:paraId="55B6817B">
      <w:pPr>
        <w:jc w:val="center"/>
        <w:rPr>
          <w:rFonts w:ascii="黑体" w:eastAsia="黑体" w:hAnsi="黑体" w:cs="黑体" w:hint="eastAsia"/>
          <w:b/>
          <w:spacing w:val="-12"/>
          <w:sz w:val="32"/>
          <w:szCs w:val="32"/>
        </w:rPr>
      </w:pPr>
      <w:r>
        <w:rPr>
          <w:rFonts w:ascii="黑体" w:eastAsia="黑体" w:hAnsi="黑体" w:cs="黑体" w:hint="eastAsia"/>
          <w:b/>
          <w:spacing w:val="-12"/>
          <w:sz w:val="32"/>
          <w:szCs w:val="32"/>
          <w:lang w:val="en-US" w:eastAsia="zh-CN"/>
        </w:rPr>
        <w:t>毕业</w:t>
      </w:r>
      <w:r>
        <w:rPr>
          <w:rFonts w:ascii="黑体" w:eastAsia="黑体" w:hAnsi="黑体" w:cs="黑体" w:hint="eastAsia"/>
          <w:b/>
          <w:spacing w:val="-12"/>
          <w:sz w:val="32"/>
          <w:szCs w:val="32"/>
        </w:rPr>
        <w:t>设计(论文)开题报告</w:t>
      </w:r>
    </w:p>
    <w:tbl>
      <w:tblPr>
        <w:tblStyle w:val="TableNorm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04"/>
        <w:gridCol w:w="924"/>
        <w:gridCol w:w="850"/>
        <w:gridCol w:w="992"/>
        <w:gridCol w:w="748"/>
        <w:gridCol w:w="1315"/>
        <w:gridCol w:w="772"/>
        <w:gridCol w:w="530"/>
        <w:gridCol w:w="896"/>
        <w:gridCol w:w="1311"/>
      </w:tblGrid>
      <w:tr w14:paraId="04A79852">
        <w:tblPrEx>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54"/>
          <w:jc w:val="center"/>
        </w:trPr>
        <w:tc>
          <w:tcPr>
            <w:tcW w:w="2228" w:type="dxa"/>
            <w:gridSpan w:val="2"/>
            <w:tcBorders>
              <w:top w:val="single" w:sz="12" w:space="0" w:color="000000"/>
              <w:left w:val="single" w:sz="12" w:space="0" w:color="000000"/>
              <w:bottom w:val="single" w:sz="8" w:space="0" w:color="auto"/>
            </w:tcBorders>
            <w:noWrap w:val="0"/>
            <w:tcMar>
              <w:left w:w="113" w:type="dxa"/>
              <w:right w:w="113" w:type="dxa"/>
            </w:tcMar>
            <w:vAlign w:val="center"/>
          </w:tcPr>
          <w:p w14:paraId="04CCD317">
            <w:pPr>
              <w:jc w:val="center"/>
              <w:rPr>
                <w:szCs w:val="21"/>
              </w:rPr>
            </w:pPr>
            <w:r>
              <w:rPr>
                <w:szCs w:val="21"/>
              </w:rPr>
              <w:t>毕业设计(论文)题目</w:t>
            </w:r>
          </w:p>
        </w:tc>
        <w:tc>
          <w:tcPr>
            <w:tcW w:w="7414" w:type="dxa"/>
            <w:gridSpan w:val="8"/>
            <w:tcBorders>
              <w:top w:val="single" w:sz="12" w:space="0" w:color="000000"/>
              <w:bottom w:val="single" w:sz="8" w:space="0" w:color="auto"/>
              <w:right w:val="single" w:sz="12" w:space="0" w:color="000000"/>
            </w:tcBorders>
            <w:noWrap w:val="0"/>
            <w:tcMar>
              <w:left w:w="113" w:type="dxa"/>
              <w:right w:w="113" w:type="dxa"/>
            </w:tcMar>
            <w:vAlign w:val="center"/>
          </w:tcPr>
          <w:p w14:paraId="207EB34E">
            <w:pPr>
              <w:rPr>
                <w:rFonts w:eastAsia="宋体" w:hint="default"/>
                <w:color w:val="FF0000"/>
                <w:szCs w:val="21"/>
                <w:lang w:val="en-US" w:eastAsia="zh-CN"/>
              </w:rPr>
            </w:pPr>
            <w:r>
              <w:rPr>
                <w:rFonts w:hint="eastAsia"/>
                <w:lang w:val="en-US" w:eastAsia="zh-CN"/>
              </w:rPr>
              <w:t>碳点固定纳米金属构筑葡萄糖传感器</w:t>
            </w:r>
          </w:p>
        </w:tc>
      </w:tr>
      <w:tr w14:paraId="00B639EC">
        <w:tblPrEx>
          <w:tblW w:w="9642" w:type="dxa"/>
          <w:jc w:val="center"/>
          <w:tblLayout w:type="fixed"/>
          <w:tblCellMar>
            <w:top w:w="0" w:type="dxa"/>
            <w:left w:w="108" w:type="dxa"/>
            <w:bottom w:w="0" w:type="dxa"/>
            <w:right w:w="108" w:type="dxa"/>
          </w:tblCellMar>
        </w:tblPrEx>
        <w:trPr>
          <w:trHeight w:val="454"/>
          <w:jc w:val="center"/>
        </w:trPr>
        <w:tc>
          <w:tcPr>
            <w:tcW w:w="1304" w:type="dxa"/>
            <w:tcBorders>
              <w:top w:val="single" w:sz="8" w:space="0" w:color="auto"/>
              <w:left w:val="single" w:sz="12" w:space="0" w:color="000000"/>
              <w:bottom w:val="single" w:sz="8" w:space="0" w:color="auto"/>
            </w:tcBorders>
            <w:noWrap w:val="0"/>
            <w:tcMar>
              <w:left w:w="113" w:type="dxa"/>
              <w:right w:w="113" w:type="dxa"/>
            </w:tcMar>
            <w:vAlign w:val="center"/>
          </w:tcPr>
          <w:p w14:paraId="681D184C">
            <w:pPr>
              <w:jc w:val="center"/>
              <w:rPr>
                <w:szCs w:val="21"/>
              </w:rPr>
            </w:pPr>
            <w:r>
              <w:rPr>
                <w:szCs w:val="21"/>
              </w:rPr>
              <w:t>学院</w:t>
            </w:r>
          </w:p>
        </w:tc>
        <w:tc>
          <w:tcPr>
            <w:tcW w:w="3514" w:type="dxa"/>
            <w:gridSpan w:val="4"/>
            <w:tcBorders>
              <w:top w:val="single" w:sz="8" w:space="0" w:color="auto"/>
              <w:bottom w:val="single" w:sz="8" w:space="0" w:color="auto"/>
              <w:right w:val="single" w:sz="8" w:space="0" w:color="auto"/>
            </w:tcBorders>
            <w:noWrap w:val="0"/>
            <w:tcMar>
              <w:left w:w="113" w:type="dxa"/>
              <w:right w:w="113" w:type="dxa"/>
            </w:tcMar>
            <w:vAlign w:val="center"/>
          </w:tcPr>
          <w:p w14:paraId="36E8C179">
            <w:pPr>
              <w:jc w:val="center"/>
              <w:rPr>
                <w:rFonts w:eastAsia="宋体" w:hint="default"/>
                <w:szCs w:val="21"/>
                <w:lang w:val="en-US" w:eastAsia="zh-CN"/>
              </w:rPr>
            </w:pPr>
            <w:r>
              <w:rPr>
                <w:rFonts w:hint="eastAsia"/>
                <w:szCs w:val="21"/>
                <w:lang w:val="en-US" w:eastAsia="zh-CN"/>
              </w:rPr>
              <w:t>xxx</w:t>
            </w:r>
          </w:p>
        </w:tc>
        <w:tc>
          <w:tcPr>
            <w:tcW w:w="1315" w:type="dxa"/>
            <w:tcBorders>
              <w:top w:val="single" w:sz="8" w:space="0" w:color="auto"/>
              <w:left w:val="single" w:sz="8" w:space="0" w:color="auto"/>
              <w:bottom w:val="single" w:sz="8" w:space="0" w:color="auto"/>
              <w:right w:val="single" w:sz="4" w:space="0" w:color="auto"/>
            </w:tcBorders>
            <w:noWrap w:val="0"/>
            <w:tcMar>
              <w:left w:w="113" w:type="dxa"/>
              <w:right w:w="113" w:type="dxa"/>
            </w:tcMar>
            <w:vAlign w:val="center"/>
          </w:tcPr>
          <w:p w14:paraId="55EEAC08">
            <w:pPr>
              <w:jc w:val="center"/>
              <w:rPr>
                <w:szCs w:val="21"/>
              </w:rPr>
            </w:pPr>
            <w:r>
              <w:rPr>
                <w:szCs w:val="21"/>
              </w:rPr>
              <w:t>专     业</w:t>
            </w:r>
          </w:p>
        </w:tc>
        <w:tc>
          <w:tcPr>
            <w:tcW w:w="3509" w:type="dxa"/>
            <w:gridSpan w:val="4"/>
            <w:tcBorders>
              <w:top w:val="single" w:sz="8" w:space="0" w:color="auto"/>
              <w:left w:val="single" w:sz="4" w:space="0" w:color="auto"/>
              <w:bottom w:val="single" w:sz="8" w:space="0" w:color="auto"/>
              <w:right w:val="single" w:sz="12" w:space="0" w:color="000000"/>
            </w:tcBorders>
            <w:noWrap w:val="0"/>
            <w:tcMar>
              <w:left w:w="113" w:type="dxa"/>
              <w:right w:w="113" w:type="dxa"/>
            </w:tcMar>
            <w:vAlign w:val="center"/>
          </w:tcPr>
          <w:p w14:paraId="2CBA7480">
            <w:pPr>
              <w:jc w:val="center"/>
              <w:rPr>
                <w:rFonts w:eastAsia="宋体" w:hint="default"/>
                <w:szCs w:val="21"/>
                <w:lang w:val="en-US" w:eastAsia="zh-CN"/>
              </w:rPr>
            </w:pPr>
            <w:r>
              <w:rPr>
                <w:rFonts w:hint="eastAsia"/>
                <w:szCs w:val="21"/>
                <w:lang w:val="en-US" w:eastAsia="zh-CN"/>
              </w:rPr>
              <w:t>xxx</w:t>
            </w:r>
          </w:p>
        </w:tc>
      </w:tr>
      <w:tr w14:paraId="179E84E9">
        <w:tblPrEx>
          <w:tblW w:w="9642" w:type="dxa"/>
          <w:jc w:val="center"/>
          <w:tblLayout w:type="fixed"/>
          <w:tblCellMar>
            <w:top w:w="0" w:type="dxa"/>
            <w:left w:w="108" w:type="dxa"/>
            <w:bottom w:w="0" w:type="dxa"/>
            <w:right w:w="108" w:type="dxa"/>
          </w:tblCellMar>
        </w:tblPrEx>
        <w:trPr>
          <w:trHeight w:val="454"/>
          <w:jc w:val="center"/>
        </w:trPr>
        <w:tc>
          <w:tcPr>
            <w:tcW w:w="1304" w:type="dxa"/>
            <w:vMerge w:val="restart"/>
            <w:tcBorders>
              <w:top w:val="single" w:sz="8" w:space="0" w:color="auto"/>
              <w:left w:val="single" w:sz="12" w:space="0" w:color="000000"/>
            </w:tcBorders>
            <w:noWrap w:val="0"/>
            <w:tcMar>
              <w:left w:w="113" w:type="dxa"/>
              <w:right w:w="113" w:type="dxa"/>
            </w:tcMar>
            <w:vAlign w:val="center"/>
          </w:tcPr>
          <w:p w14:paraId="0229F9C3">
            <w:pPr>
              <w:jc w:val="center"/>
              <w:rPr>
                <w:szCs w:val="21"/>
              </w:rPr>
            </w:pPr>
            <w:r>
              <w:rPr>
                <w:szCs w:val="21"/>
              </w:rPr>
              <w:t>学生姓名</w:t>
            </w:r>
          </w:p>
        </w:tc>
        <w:tc>
          <w:tcPr>
            <w:tcW w:w="924" w:type="dxa"/>
            <w:vMerge w:val="restart"/>
            <w:tcBorders>
              <w:top w:val="single" w:sz="8" w:space="0" w:color="auto"/>
              <w:right w:val="single" w:sz="8" w:space="0" w:color="auto"/>
            </w:tcBorders>
            <w:noWrap w:val="0"/>
            <w:tcMar>
              <w:left w:w="113" w:type="dxa"/>
              <w:right w:w="113" w:type="dxa"/>
            </w:tcMar>
            <w:vAlign w:val="center"/>
          </w:tcPr>
          <w:p w14:paraId="7D304319">
            <w:pPr>
              <w:jc w:val="center"/>
              <w:rPr>
                <w:rFonts w:eastAsia="宋体" w:hint="default"/>
                <w:szCs w:val="21"/>
                <w:lang w:val="en-US" w:eastAsia="zh-CN"/>
              </w:rPr>
            </w:pPr>
            <w:r>
              <w:rPr>
                <w:rFonts w:hint="eastAsia"/>
                <w:szCs w:val="21"/>
                <w:lang w:val="en-US" w:eastAsia="zh-CN"/>
              </w:rPr>
              <w:t>xxx</w:t>
            </w:r>
          </w:p>
        </w:tc>
        <w:tc>
          <w:tcPr>
            <w:tcW w:w="850" w:type="dxa"/>
            <w:vMerge w:val="restart"/>
            <w:tcBorders>
              <w:top w:val="single" w:sz="8" w:space="0" w:color="auto"/>
              <w:left w:val="single" w:sz="8" w:space="0" w:color="auto"/>
            </w:tcBorders>
            <w:noWrap w:val="0"/>
            <w:tcMar>
              <w:left w:w="113" w:type="dxa"/>
              <w:right w:w="113" w:type="dxa"/>
            </w:tcMar>
            <w:vAlign w:val="center"/>
          </w:tcPr>
          <w:p w14:paraId="7FB95F19">
            <w:pPr>
              <w:jc w:val="center"/>
              <w:rPr>
                <w:szCs w:val="21"/>
              </w:rPr>
            </w:pPr>
            <w:r>
              <w:rPr>
                <w:szCs w:val="21"/>
              </w:rPr>
              <w:t>学号</w:t>
            </w:r>
          </w:p>
        </w:tc>
        <w:tc>
          <w:tcPr>
            <w:tcW w:w="1740" w:type="dxa"/>
            <w:gridSpan w:val="2"/>
            <w:vMerge w:val="restart"/>
            <w:tcBorders>
              <w:top w:val="single" w:sz="8" w:space="0" w:color="auto"/>
              <w:right w:val="single" w:sz="8" w:space="0" w:color="auto"/>
            </w:tcBorders>
            <w:noWrap w:val="0"/>
            <w:tcMar>
              <w:left w:w="113" w:type="dxa"/>
              <w:right w:w="113" w:type="dxa"/>
            </w:tcMar>
            <w:vAlign w:val="center"/>
          </w:tcPr>
          <w:p w14:paraId="106B3654">
            <w:pPr>
              <w:jc w:val="center"/>
              <w:rPr>
                <w:rFonts w:eastAsia="宋体" w:hint="default"/>
                <w:szCs w:val="21"/>
                <w:lang w:val="en-US" w:eastAsia="zh-CN"/>
              </w:rPr>
            </w:pPr>
            <w:r>
              <w:rPr>
                <w:rFonts w:hint="eastAsia"/>
                <w:szCs w:val="21"/>
                <w:lang w:val="en-US" w:eastAsia="zh-CN"/>
              </w:rPr>
              <w:t>xxx</w:t>
            </w:r>
          </w:p>
        </w:tc>
        <w:tc>
          <w:tcPr>
            <w:tcW w:w="1315" w:type="dxa"/>
            <w:vMerge w:val="restart"/>
            <w:tcBorders>
              <w:top w:val="single" w:sz="8" w:space="0" w:color="auto"/>
              <w:left w:val="single" w:sz="8" w:space="0" w:color="auto"/>
            </w:tcBorders>
            <w:noWrap w:val="0"/>
            <w:tcMar>
              <w:left w:w="113" w:type="dxa"/>
              <w:right w:w="113" w:type="dxa"/>
            </w:tcMar>
            <w:vAlign w:val="center"/>
          </w:tcPr>
          <w:p w14:paraId="5C08A621">
            <w:pPr>
              <w:jc w:val="center"/>
              <w:rPr>
                <w:szCs w:val="21"/>
              </w:rPr>
            </w:pPr>
            <w:r>
              <w:rPr>
                <w:szCs w:val="21"/>
              </w:rPr>
              <w:t>指导教师</w:t>
            </w:r>
          </w:p>
        </w:tc>
        <w:tc>
          <w:tcPr>
            <w:tcW w:w="1302" w:type="dxa"/>
            <w:gridSpan w:val="2"/>
            <w:tcBorders>
              <w:top w:val="single" w:sz="8" w:space="0" w:color="auto"/>
              <w:bottom w:val="single" w:sz="4" w:space="0" w:color="auto"/>
              <w:right w:val="single" w:sz="8" w:space="0" w:color="auto"/>
            </w:tcBorders>
            <w:noWrap w:val="0"/>
            <w:tcMar>
              <w:left w:w="113" w:type="dxa"/>
              <w:right w:w="113" w:type="dxa"/>
            </w:tcMar>
            <w:vAlign w:val="center"/>
          </w:tcPr>
          <w:p w14:paraId="2F1F9D1B">
            <w:pPr>
              <w:jc w:val="center"/>
              <w:rPr>
                <w:rFonts w:eastAsia="宋体" w:hint="default"/>
                <w:szCs w:val="21"/>
                <w:lang w:val="en-US" w:eastAsia="zh-CN"/>
              </w:rPr>
            </w:pPr>
            <w:r>
              <w:rPr>
                <w:rFonts w:hint="eastAsia"/>
                <w:szCs w:val="21"/>
                <w:lang w:val="en-US" w:eastAsia="zh-CN"/>
              </w:rPr>
              <w:t>xxx</w:t>
            </w:r>
          </w:p>
        </w:tc>
        <w:tc>
          <w:tcPr>
            <w:tcW w:w="896" w:type="dxa"/>
            <w:vMerge w:val="restart"/>
            <w:tcBorders>
              <w:top w:val="single" w:sz="8" w:space="0" w:color="auto"/>
              <w:left w:val="single" w:sz="8" w:space="0" w:color="auto"/>
            </w:tcBorders>
            <w:noWrap w:val="0"/>
            <w:tcMar>
              <w:left w:w="113" w:type="dxa"/>
              <w:right w:w="113" w:type="dxa"/>
            </w:tcMar>
            <w:vAlign w:val="center"/>
          </w:tcPr>
          <w:p w14:paraId="6D2E1164">
            <w:pPr>
              <w:jc w:val="center"/>
              <w:rPr>
                <w:szCs w:val="21"/>
              </w:rPr>
            </w:pPr>
            <w:r>
              <w:rPr>
                <w:szCs w:val="21"/>
              </w:rPr>
              <w:t>职称</w:t>
            </w:r>
          </w:p>
        </w:tc>
        <w:tc>
          <w:tcPr>
            <w:tcW w:w="1311" w:type="dxa"/>
            <w:tcBorders>
              <w:top w:val="single" w:sz="8" w:space="0" w:color="auto"/>
              <w:bottom w:val="single" w:sz="4" w:space="0" w:color="auto"/>
              <w:right w:val="single" w:sz="12" w:space="0" w:color="auto"/>
            </w:tcBorders>
            <w:noWrap w:val="0"/>
            <w:tcMar>
              <w:left w:w="113" w:type="dxa"/>
              <w:right w:w="113" w:type="dxa"/>
            </w:tcMar>
            <w:vAlign w:val="center"/>
          </w:tcPr>
          <w:p w14:paraId="64E26775">
            <w:pPr>
              <w:jc w:val="center"/>
              <w:rPr>
                <w:rFonts w:eastAsia="宋体" w:hint="default"/>
                <w:szCs w:val="21"/>
                <w:lang w:val="en-US" w:eastAsia="zh-CN"/>
              </w:rPr>
            </w:pPr>
          </w:p>
        </w:tc>
      </w:tr>
      <w:tr w14:paraId="1573FD1D">
        <w:tblPrEx>
          <w:tblW w:w="9642" w:type="dxa"/>
          <w:jc w:val="center"/>
          <w:tblLayout w:type="fixed"/>
          <w:tblCellMar>
            <w:top w:w="0" w:type="dxa"/>
            <w:left w:w="108" w:type="dxa"/>
            <w:bottom w:w="0" w:type="dxa"/>
            <w:right w:w="108" w:type="dxa"/>
          </w:tblCellMar>
        </w:tblPrEx>
        <w:trPr>
          <w:trHeight w:val="454"/>
          <w:jc w:val="center"/>
        </w:trPr>
        <w:tc>
          <w:tcPr>
            <w:tcW w:w="1304" w:type="dxa"/>
            <w:vMerge/>
            <w:tcBorders>
              <w:left w:val="single" w:sz="12" w:space="0" w:color="000000"/>
              <w:bottom w:val="single" w:sz="12" w:space="0" w:color="auto"/>
            </w:tcBorders>
            <w:noWrap w:val="0"/>
            <w:tcMar>
              <w:left w:w="113" w:type="dxa"/>
              <w:right w:w="113" w:type="dxa"/>
            </w:tcMar>
            <w:vAlign w:val="center"/>
          </w:tcPr>
          <w:p w14:paraId="3F60A1A8">
            <w:pPr>
              <w:jc w:val="center"/>
              <w:rPr>
                <w:szCs w:val="21"/>
              </w:rPr>
            </w:pPr>
          </w:p>
        </w:tc>
        <w:tc>
          <w:tcPr>
            <w:tcW w:w="924" w:type="dxa"/>
            <w:vMerge/>
            <w:tcBorders>
              <w:bottom w:val="single" w:sz="12" w:space="0" w:color="auto"/>
              <w:right w:val="single" w:sz="8" w:space="0" w:color="auto"/>
            </w:tcBorders>
            <w:noWrap w:val="0"/>
            <w:tcMar>
              <w:left w:w="113" w:type="dxa"/>
              <w:right w:w="113" w:type="dxa"/>
            </w:tcMar>
            <w:vAlign w:val="center"/>
          </w:tcPr>
          <w:p w14:paraId="2236F985">
            <w:pPr>
              <w:jc w:val="center"/>
              <w:rPr>
                <w:szCs w:val="21"/>
              </w:rPr>
            </w:pPr>
          </w:p>
        </w:tc>
        <w:tc>
          <w:tcPr>
            <w:tcW w:w="850" w:type="dxa"/>
            <w:vMerge/>
            <w:tcBorders>
              <w:left w:val="single" w:sz="8" w:space="0" w:color="auto"/>
              <w:bottom w:val="single" w:sz="12" w:space="0" w:color="auto"/>
            </w:tcBorders>
            <w:noWrap w:val="0"/>
            <w:tcMar>
              <w:left w:w="113" w:type="dxa"/>
              <w:right w:w="113" w:type="dxa"/>
            </w:tcMar>
            <w:vAlign w:val="center"/>
          </w:tcPr>
          <w:p w14:paraId="29EAA41D">
            <w:pPr>
              <w:jc w:val="center"/>
              <w:rPr>
                <w:szCs w:val="21"/>
              </w:rPr>
            </w:pPr>
          </w:p>
        </w:tc>
        <w:tc>
          <w:tcPr>
            <w:tcW w:w="1740" w:type="dxa"/>
            <w:gridSpan w:val="2"/>
            <w:vMerge/>
            <w:tcBorders>
              <w:bottom w:val="single" w:sz="12" w:space="0" w:color="auto"/>
              <w:right w:val="single" w:sz="8" w:space="0" w:color="auto"/>
            </w:tcBorders>
            <w:noWrap w:val="0"/>
            <w:tcMar>
              <w:left w:w="113" w:type="dxa"/>
              <w:right w:w="113" w:type="dxa"/>
            </w:tcMar>
            <w:vAlign w:val="center"/>
          </w:tcPr>
          <w:p w14:paraId="53783055">
            <w:pPr>
              <w:jc w:val="center"/>
              <w:rPr>
                <w:szCs w:val="21"/>
              </w:rPr>
            </w:pPr>
          </w:p>
        </w:tc>
        <w:tc>
          <w:tcPr>
            <w:tcW w:w="1315" w:type="dxa"/>
            <w:vMerge/>
            <w:tcBorders>
              <w:left w:val="single" w:sz="8" w:space="0" w:color="auto"/>
              <w:bottom w:val="single" w:sz="12" w:space="0" w:color="auto"/>
            </w:tcBorders>
            <w:noWrap w:val="0"/>
            <w:tcMar>
              <w:left w:w="113" w:type="dxa"/>
              <w:right w:w="113" w:type="dxa"/>
            </w:tcMar>
            <w:vAlign w:val="center"/>
          </w:tcPr>
          <w:p w14:paraId="692323BB">
            <w:pPr>
              <w:jc w:val="center"/>
              <w:rPr>
                <w:szCs w:val="21"/>
              </w:rPr>
            </w:pPr>
          </w:p>
        </w:tc>
        <w:tc>
          <w:tcPr>
            <w:tcW w:w="1302" w:type="dxa"/>
            <w:gridSpan w:val="2"/>
            <w:tcBorders>
              <w:top w:val="single" w:sz="4" w:space="0" w:color="auto"/>
              <w:bottom w:val="single" w:sz="12" w:space="0" w:color="auto"/>
              <w:right w:val="single" w:sz="8" w:space="0" w:color="auto"/>
            </w:tcBorders>
            <w:noWrap w:val="0"/>
            <w:tcMar>
              <w:left w:w="113" w:type="dxa"/>
              <w:right w:w="113" w:type="dxa"/>
            </w:tcMar>
            <w:vAlign w:val="center"/>
          </w:tcPr>
          <w:p w14:paraId="3FE47F4E">
            <w:pPr>
              <w:jc w:val="center"/>
              <w:rPr>
                <w:rFonts w:eastAsia="宋体" w:hint="default"/>
                <w:szCs w:val="21"/>
                <w:lang w:val="en-US" w:eastAsia="zh-CN"/>
              </w:rPr>
            </w:pPr>
            <w:r>
              <w:rPr>
                <w:rFonts w:hint="eastAsia"/>
                <w:szCs w:val="21"/>
                <w:lang w:val="en-US" w:eastAsia="zh-CN"/>
              </w:rPr>
              <w:t>xxx</w:t>
            </w:r>
          </w:p>
        </w:tc>
        <w:tc>
          <w:tcPr>
            <w:tcW w:w="896" w:type="dxa"/>
            <w:vMerge/>
            <w:tcBorders>
              <w:left w:val="single" w:sz="8" w:space="0" w:color="auto"/>
              <w:bottom w:val="single" w:sz="12" w:space="0" w:color="auto"/>
            </w:tcBorders>
            <w:noWrap w:val="0"/>
            <w:tcMar>
              <w:left w:w="113" w:type="dxa"/>
              <w:right w:w="113" w:type="dxa"/>
            </w:tcMar>
            <w:vAlign w:val="center"/>
          </w:tcPr>
          <w:p w14:paraId="07FE270E">
            <w:pPr>
              <w:jc w:val="center"/>
              <w:rPr>
                <w:szCs w:val="21"/>
              </w:rPr>
            </w:pPr>
          </w:p>
        </w:tc>
        <w:tc>
          <w:tcPr>
            <w:tcW w:w="1311" w:type="dxa"/>
            <w:tcBorders>
              <w:top w:val="single" w:sz="4" w:space="0" w:color="auto"/>
              <w:bottom w:val="single" w:sz="12" w:space="0" w:color="auto"/>
              <w:right w:val="single" w:sz="12" w:space="0" w:color="auto"/>
            </w:tcBorders>
            <w:noWrap w:val="0"/>
            <w:tcMar>
              <w:left w:w="113" w:type="dxa"/>
              <w:right w:w="113" w:type="dxa"/>
            </w:tcMar>
            <w:vAlign w:val="center"/>
          </w:tcPr>
          <w:p w14:paraId="1B611877">
            <w:pPr>
              <w:jc w:val="center"/>
              <w:rPr>
                <w:rFonts w:eastAsia="宋体" w:hint="default"/>
                <w:szCs w:val="21"/>
                <w:lang w:val="en-US" w:eastAsia="zh-CN"/>
              </w:rPr>
            </w:pPr>
          </w:p>
        </w:tc>
      </w:tr>
      <w:tr w14:paraId="3EC723B3">
        <w:tblPrEx>
          <w:tblW w:w="9642" w:type="dxa"/>
          <w:jc w:val="center"/>
          <w:tblLayout w:type="fixed"/>
          <w:tblCellMar>
            <w:top w:w="0" w:type="dxa"/>
            <w:left w:w="108" w:type="dxa"/>
            <w:bottom w:w="0" w:type="dxa"/>
            <w:right w:w="108" w:type="dxa"/>
          </w:tblCellMar>
        </w:tblPrEx>
        <w:trPr>
          <w:trHeight w:val="454"/>
          <w:jc w:val="center"/>
        </w:trPr>
        <w:tc>
          <w:tcPr>
            <w:tcW w:w="1304" w:type="dxa"/>
            <w:tcBorders>
              <w:top w:val="single" w:sz="8" w:space="0" w:color="auto"/>
              <w:left w:val="single" w:sz="12" w:space="0" w:color="auto"/>
              <w:bottom w:val="single" w:sz="8" w:space="0" w:color="auto"/>
              <w:right w:val="single" w:sz="8" w:space="0" w:color="auto"/>
            </w:tcBorders>
            <w:noWrap w:val="0"/>
            <w:tcMar>
              <w:left w:w="113" w:type="dxa"/>
              <w:right w:w="113" w:type="dxa"/>
            </w:tcMar>
            <w:vAlign w:val="center"/>
          </w:tcPr>
          <w:p w14:paraId="3E471F93">
            <w:pPr>
              <w:jc w:val="center"/>
              <w:rPr>
                <w:szCs w:val="21"/>
              </w:rPr>
            </w:pPr>
            <w:r>
              <w:rPr>
                <w:szCs w:val="21"/>
              </w:rPr>
              <w:t>选题类别</w:t>
            </w:r>
          </w:p>
        </w:tc>
        <w:tc>
          <w:tcPr>
            <w:tcW w:w="2766" w:type="dxa"/>
            <w:gridSpan w:val="3"/>
            <w:tcBorders>
              <w:top w:val="single" w:sz="8" w:space="0" w:color="auto"/>
              <w:left w:val="single" w:sz="8" w:space="0" w:color="auto"/>
              <w:bottom w:val="single" w:sz="8" w:space="0" w:color="auto"/>
              <w:right w:val="single" w:sz="8" w:space="0" w:color="auto"/>
            </w:tcBorders>
            <w:noWrap w:val="0"/>
            <w:tcMar>
              <w:left w:w="113" w:type="dxa"/>
              <w:right w:w="113" w:type="dxa"/>
            </w:tcMar>
            <w:vAlign w:val="center"/>
          </w:tcPr>
          <w:p w14:paraId="676C6526">
            <w:pPr>
              <w:jc w:val="center"/>
              <w:rPr>
                <w:szCs w:val="21"/>
              </w:rPr>
            </w:pPr>
            <w:r>
              <w:rPr>
                <w:szCs w:val="21"/>
              </w:rPr>
              <w:t xml:space="preserve">设 计 型（ </w:t>
            </w:r>
            <w:r>
              <w:rPr>
                <w:rFonts w:hint="eastAsia"/>
                <w:szCs w:val="21"/>
              </w:rPr>
              <w:t xml:space="preserve"> </w:t>
            </w:r>
            <w:r>
              <w:rPr>
                <w:szCs w:val="21"/>
              </w:rPr>
              <w:t xml:space="preserve"> ）</w:t>
            </w:r>
          </w:p>
        </w:tc>
        <w:tc>
          <w:tcPr>
            <w:tcW w:w="2835" w:type="dxa"/>
            <w:gridSpan w:val="3"/>
            <w:tcBorders>
              <w:top w:val="single" w:sz="8" w:space="0" w:color="auto"/>
              <w:left w:val="single" w:sz="8" w:space="0" w:color="auto"/>
              <w:bottom w:val="single" w:sz="8" w:space="0" w:color="auto"/>
              <w:right w:val="single" w:sz="8" w:space="0" w:color="auto"/>
            </w:tcBorders>
            <w:noWrap w:val="0"/>
            <w:tcMar>
              <w:left w:w="113" w:type="dxa"/>
              <w:right w:w="113" w:type="dxa"/>
            </w:tcMar>
            <w:vAlign w:val="center"/>
          </w:tcPr>
          <w:p w14:paraId="422F0692">
            <w:pPr>
              <w:jc w:val="center"/>
              <w:rPr>
                <w:szCs w:val="21"/>
              </w:rPr>
            </w:pPr>
            <w:r>
              <w:rPr>
                <w:szCs w:val="21"/>
              </w:rPr>
              <w:t>论 文 型（</w:t>
            </w:r>
            <w:r>
              <w:rPr>
                <w:rFonts w:hint="eastAsia"/>
                <w:szCs w:val="21"/>
              </w:rPr>
              <w:t xml:space="preserve">  </w:t>
            </w:r>
            <w:r>
              <w:rPr>
                <w:szCs w:val="21"/>
              </w:rPr>
              <w:t xml:space="preserve"> ）</w:t>
            </w:r>
          </w:p>
        </w:tc>
        <w:tc>
          <w:tcPr>
            <w:tcW w:w="2737" w:type="dxa"/>
            <w:gridSpan w:val="3"/>
            <w:tcBorders>
              <w:top w:val="single" w:sz="8" w:space="0" w:color="auto"/>
              <w:left w:val="single" w:sz="8" w:space="0" w:color="auto"/>
              <w:bottom w:val="single" w:sz="8" w:space="0" w:color="auto"/>
              <w:right w:val="single" w:sz="12" w:space="0" w:color="auto"/>
            </w:tcBorders>
            <w:noWrap w:val="0"/>
            <w:tcMar>
              <w:left w:w="113" w:type="dxa"/>
              <w:right w:w="113" w:type="dxa"/>
            </w:tcMar>
            <w:vAlign w:val="center"/>
          </w:tcPr>
          <w:p w14:paraId="3EE5DF32">
            <w:pPr>
              <w:jc w:val="center"/>
              <w:rPr>
                <w:szCs w:val="21"/>
              </w:rPr>
            </w:pPr>
            <w:r>
              <w:rPr>
                <w:szCs w:val="21"/>
              </w:rPr>
              <w:t>社会调查报告（    ）</w:t>
            </w:r>
          </w:p>
        </w:tc>
      </w:tr>
      <w:tr w14:paraId="3C91503A">
        <w:tblPrEx>
          <w:tblW w:w="9642" w:type="dxa"/>
          <w:jc w:val="center"/>
          <w:tblLayout w:type="fixed"/>
          <w:tblCellMar>
            <w:top w:w="0" w:type="dxa"/>
            <w:left w:w="108" w:type="dxa"/>
            <w:bottom w:w="0" w:type="dxa"/>
            <w:right w:w="108" w:type="dxa"/>
          </w:tblCellMar>
        </w:tblPrEx>
        <w:trPr>
          <w:trHeight w:val="454"/>
          <w:jc w:val="center"/>
        </w:trPr>
        <w:tc>
          <w:tcPr>
            <w:tcW w:w="1304" w:type="dxa"/>
            <w:tcBorders>
              <w:top w:val="single" w:sz="8" w:space="0" w:color="auto"/>
              <w:left w:val="single" w:sz="12" w:space="0" w:color="auto"/>
              <w:bottom w:val="single" w:sz="12" w:space="0" w:color="auto"/>
              <w:right w:val="single" w:sz="8" w:space="0" w:color="auto"/>
            </w:tcBorders>
            <w:noWrap w:val="0"/>
            <w:tcMar>
              <w:left w:w="113" w:type="dxa"/>
              <w:right w:w="113" w:type="dxa"/>
            </w:tcMar>
            <w:vAlign w:val="center"/>
          </w:tcPr>
          <w:p w14:paraId="1AA18DD1">
            <w:pPr>
              <w:jc w:val="center"/>
              <w:rPr>
                <w:szCs w:val="21"/>
              </w:rPr>
            </w:pPr>
            <w:r>
              <w:rPr>
                <w:szCs w:val="21"/>
              </w:rPr>
              <w:t>课题来源</w:t>
            </w:r>
          </w:p>
        </w:tc>
        <w:tc>
          <w:tcPr>
            <w:tcW w:w="2766" w:type="dxa"/>
            <w:gridSpan w:val="3"/>
            <w:tcBorders>
              <w:top w:val="single" w:sz="8" w:space="0" w:color="auto"/>
              <w:left w:val="single" w:sz="8" w:space="0" w:color="auto"/>
              <w:bottom w:val="single" w:sz="12" w:space="0" w:color="auto"/>
              <w:right w:val="single" w:sz="8" w:space="0" w:color="auto"/>
            </w:tcBorders>
            <w:noWrap w:val="0"/>
            <w:tcMar>
              <w:left w:w="113" w:type="dxa"/>
              <w:right w:w="113" w:type="dxa"/>
            </w:tcMar>
            <w:vAlign w:val="center"/>
          </w:tcPr>
          <w:p w14:paraId="5578AF3E">
            <w:pPr>
              <w:jc w:val="center"/>
              <w:rPr>
                <w:szCs w:val="21"/>
              </w:rPr>
            </w:pPr>
            <w:r>
              <w:rPr>
                <w:szCs w:val="21"/>
              </w:rPr>
              <w:t>科学研究（  ）</w:t>
            </w:r>
          </w:p>
        </w:tc>
        <w:tc>
          <w:tcPr>
            <w:tcW w:w="2835" w:type="dxa"/>
            <w:gridSpan w:val="3"/>
            <w:tcBorders>
              <w:top w:val="single" w:sz="8" w:space="0" w:color="auto"/>
              <w:left w:val="single" w:sz="8" w:space="0" w:color="auto"/>
              <w:bottom w:val="single" w:sz="12" w:space="0" w:color="auto"/>
              <w:right w:val="single" w:sz="8" w:space="0" w:color="auto"/>
            </w:tcBorders>
            <w:noWrap w:val="0"/>
            <w:tcMar>
              <w:left w:w="113" w:type="dxa"/>
              <w:right w:w="113" w:type="dxa"/>
            </w:tcMar>
            <w:vAlign w:val="center"/>
          </w:tcPr>
          <w:p w14:paraId="70526D2B">
            <w:pPr>
              <w:jc w:val="center"/>
              <w:rPr>
                <w:szCs w:val="21"/>
              </w:rPr>
            </w:pPr>
            <w:r>
              <w:rPr>
                <w:szCs w:val="21"/>
              </w:rPr>
              <w:t>生产实践（    ）</w:t>
            </w:r>
          </w:p>
        </w:tc>
        <w:tc>
          <w:tcPr>
            <w:tcW w:w="2737" w:type="dxa"/>
            <w:gridSpan w:val="3"/>
            <w:tcBorders>
              <w:top w:val="single" w:sz="8" w:space="0" w:color="auto"/>
              <w:left w:val="single" w:sz="8" w:space="0" w:color="auto"/>
              <w:bottom w:val="single" w:sz="12" w:space="0" w:color="auto"/>
              <w:right w:val="single" w:sz="12" w:space="0" w:color="auto"/>
            </w:tcBorders>
            <w:noWrap w:val="0"/>
            <w:tcMar>
              <w:left w:w="113" w:type="dxa"/>
              <w:right w:w="113" w:type="dxa"/>
            </w:tcMar>
            <w:vAlign w:val="center"/>
          </w:tcPr>
          <w:p w14:paraId="57A9E2FC">
            <w:pPr>
              <w:jc w:val="center"/>
              <w:rPr>
                <w:szCs w:val="21"/>
              </w:rPr>
            </w:pPr>
            <w:r>
              <w:rPr>
                <w:szCs w:val="21"/>
              </w:rPr>
              <w:t>自拟（  ）</w:t>
            </w:r>
          </w:p>
        </w:tc>
      </w:tr>
      <w:tr w14:paraId="57F7FAE3">
        <w:tblPrEx>
          <w:tblW w:w="9642" w:type="dxa"/>
          <w:jc w:val="center"/>
          <w:tblLayout w:type="fixed"/>
          <w:tblCellMar>
            <w:top w:w="0" w:type="dxa"/>
            <w:left w:w="108" w:type="dxa"/>
            <w:bottom w:w="0" w:type="dxa"/>
            <w:right w:w="108" w:type="dxa"/>
          </w:tblCellMar>
        </w:tblPrEx>
        <w:trPr>
          <w:trHeight w:val="2159"/>
          <w:jc w:val="center"/>
        </w:trPr>
        <w:tc>
          <w:tcPr>
            <w:tcW w:w="9642" w:type="dxa"/>
            <w:gridSpan w:val="10"/>
            <w:tcBorders>
              <w:top w:val="single" w:sz="12" w:space="0" w:color="auto"/>
              <w:left w:val="single" w:sz="12" w:space="0" w:color="auto"/>
              <w:right w:val="single" w:sz="12" w:space="0" w:color="auto"/>
            </w:tcBorders>
            <w:noWrap w:val="0"/>
            <w:tcMar>
              <w:left w:w="113" w:type="dxa"/>
              <w:right w:w="113" w:type="dxa"/>
            </w:tcMar>
            <w:vAlign w:val="top"/>
          </w:tcPr>
          <w:p w14:paraId="5BCB668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一</w:t>
            </w:r>
            <w:r>
              <w:rPr>
                <w:szCs w:val="21"/>
              </w:rPr>
              <w:t>、</w:t>
            </w:r>
            <w:r>
              <w:rPr>
                <w:rFonts w:hint="eastAsia"/>
                <w:b/>
                <w:bCs/>
                <w:lang w:val="en-US" w:eastAsia="zh-CN"/>
              </w:rPr>
              <w:t>选题背景及意义</w:t>
            </w:r>
          </w:p>
          <w:p w14:paraId="1F0CA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当今社会，随着人们生活水平的提高和饮食结构的变化，糖尿病等代谢性疾病的发病率逐年上升，成为全球公共健康的重要挑战之一。葡萄糖作为人体主要的能量来源，其浓度的变化直接影响着健康状况。开发高效、灵敏的葡萄糖传感器，能够实时监测血糖水平，对于糖尿病患者的日常管理和预防并发症具有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近年来，纳米技术的迅猛发展为传感器的设计与应用提供了新的机遇。碳点作为一种新型的纳米材料，因其优异的光学特性、良好的生物相容性以及较高的电导率，逐渐成为传感器领域的研究热点。通过将碳点与金属纳米颗粒相结合，构筑出具有多重功能的复合材料，不仅可以提高传感器的灵敏度和选择性，还能有效降低生产成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本研究旨在探索碳点固定纳米金属的构筑方法，并将其应用于葡萄糖传感器的开发。通过优化碳点与金属纳米颗粒的结合方式，研究其在葡萄糖检测中的性能表现，期望能够实现高灵敏度、快速响应的葡萄糖传感器。这一研究不仅具有重要的理论意义，也为实际应用提供了新的思路，能够为糖尿病患者的健康管理提供更为便捷和有效的解决方案，推动智能医疗的发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二</w:t>
            </w:r>
            <w:r>
              <w:rPr>
                <w:szCs w:val="21"/>
              </w:rPr>
              <w:t>、</w:t>
            </w:r>
            <w:r>
              <w:rPr>
                <w:rFonts w:hint="eastAsia"/>
                <w:b/>
                <w:bCs/>
                <w:lang w:val="en-US" w:eastAsia="zh-CN"/>
              </w:rPr>
              <w:t>国内研究现状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近年来，碳点和纳米金属材料在葡萄糖传感器领域的研究逐渐增多，相关文献为我们提供了丰富的理论基础和实验数据。田亮等（2021）指出，基于碳基材料的柔性电化学传感器具有良好的灵敏度和选择性，为葡萄糖检测提供了新的思路</w:t>
            </w:r>
            <w:r>
              <w:rPr>
                <w:rFonts w:ascii="宋体" w:eastAsia="宋体" w:hAnsi="宋体" w:cs="宋体" w:hint="default"/>
                <w:b w:val="0"/>
                <w:i w:val="0"/>
                <w:color w:val="333333"/>
                <w:sz w:val="24"/>
                <w:szCs w:val="22"/>
                <w:vertAlign w:val="superscript"/>
              </w:rPr>
              <w:t>[1]</w:t>
            </w:r>
            <w:r>
              <w:rPr>
                <w:rFonts w:ascii="宋体" w:eastAsia="宋体" w:hAnsi="宋体" w:cs="宋体" w:hint="default"/>
                <w:b w:val="0"/>
                <w:i w:val="0"/>
                <w:color w:val="333333"/>
                <w:sz w:val="24"/>
                <w:szCs w:val="22"/>
              </w:rPr>
              <w:t>。许健等（2018）研究表明，表面处理能够显著提高碳纤维基电极的性能，从而提升传感器的响应速度和灵敏度</w:t>
            </w:r>
            <w:r>
              <w:rPr>
                <w:rFonts w:ascii="宋体" w:eastAsia="宋体" w:hAnsi="宋体" w:cs="宋体" w:hint="default"/>
                <w:b w:val="0"/>
                <w:i w:val="0"/>
                <w:color w:val="333333"/>
                <w:sz w:val="24"/>
                <w:szCs w:val="22"/>
                <w:vertAlign w:val="superscript"/>
              </w:rPr>
              <w:t>[2]</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闫时建等（2024）对碳布的改性进行了综述，强调了其在电化学传感器中的应用潜力，尤其是在葡萄糖检测中的重要性</w:t>
            </w:r>
            <w:r>
              <w:rPr>
                <w:rFonts w:ascii="宋体" w:eastAsia="宋体" w:hAnsi="宋体" w:cs="宋体" w:hint="default"/>
                <w:b w:val="0"/>
                <w:i w:val="0"/>
                <w:color w:val="333333"/>
                <w:sz w:val="24"/>
                <w:szCs w:val="22"/>
                <w:vertAlign w:val="superscript"/>
              </w:rPr>
              <w:t>[3]</w:t>
            </w:r>
            <w:r>
              <w:rPr>
                <w:rFonts w:ascii="宋体" w:eastAsia="宋体" w:hAnsi="宋体" w:cs="宋体" w:hint="default"/>
                <w:b w:val="0"/>
                <w:i w:val="0"/>
                <w:color w:val="333333"/>
                <w:sz w:val="24"/>
                <w:szCs w:val="22"/>
              </w:rPr>
              <w:t>。安颀祺（2023）则提出了一种基于金属有机框架的便携式无酶电化学葡萄糖传感器，展现了其在实际应用中的可行性</w:t>
            </w:r>
            <w:r>
              <w:rPr>
                <w:rFonts w:ascii="宋体" w:eastAsia="宋体" w:hAnsi="宋体" w:cs="宋体" w:hint="default"/>
                <w:b w:val="0"/>
                <w:i w:val="0"/>
                <w:color w:val="333333"/>
                <w:sz w:val="24"/>
                <w:szCs w:val="22"/>
                <w:vertAlign w:val="superscript"/>
              </w:rPr>
              <w:t>[4]</w:t>
            </w:r>
            <w:r>
              <w:rPr>
                <w:rFonts w:ascii="宋体" w:eastAsia="宋体" w:hAnsi="宋体" w:cs="宋体" w:hint="default"/>
                <w:b w:val="0"/>
                <w:i w:val="0"/>
                <w:color w:val="333333"/>
                <w:sz w:val="24"/>
                <w:szCs w:val="22"/>
              </w:rPr>
              <w:t>。范树兴（2023）研究了碳纳米材料与金属氧化物复合结构的低温柔性气体传感器，指出其在生物传感器中的应用前景</w:t>
            </w:r>
            <w:r>
              <w:rPr>
                <w:rFonts w:ascii="宋体" w:eastAsia="宋体" w:hAnsi="宋体" w:cs="宋体" w:hint="default"/>
                <w:b w:val="0"/>
                <w:i w:val="0"/>
                <w:color w:val="333333"/>
                <w:sz w:val="24"/>
                <w:szCs w:val="22"/>
                <w:vertAlign w:val="superscript"/>
              </w:rPr>
              <w:t>[5]</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在国外研究方面，王世杰等（2023）探讨了纳米花固定化葡萄糖异构酶的制备及性能分析，表明其在无酶葡萄糖传感器中的应用效果显著</w:t>
            </w:r>
            <w:r>
              <w:rPr>
                <w:rFonts w:ascii="宋体" w:eastAsia="宋体" w:hAnsi="宋体" w:cs="宋体" w:hint="default"/>
                <w:b w:val="0"/>
                <w:i w:val="0"/>
                <w:color w:val="333333"/>
                <w:sz w:val="24"/>
                <w:szCs w:val="22"/>
                <w:vertAlign w:val="superscript"/>
              </w:rPr>
              <w:t>[7]</w:t>
            </w:r>
            <w:r>
              <w:rPr>
                <w:rFonts w:ascii="宋体" w:eastAsia="宋体" w:hAnsi="宋体" w:cs="宋体" w:hint="default"/>
                <w:b w:val="0"/>
                <w:i w:val="0"/>
                <w:color w:val="333333"/>
                <w:sz w:val="24"/>
                <w:szCs w:val="22"/>
              </w:rPr>
              <w:t>。张树纬（2021）研究了非金属半导体量子点纳米复合物基葡萄糖传感器的电化学发光性能，提出了其在灵敏度提升方面的优势</w:t>
            </w:r>
            <w:r>
              <w:rPr>
                <w:rFonts w:ascii="宋体" w:eastAsia="宋体" w:hAnsi="宋体" w:cs="宋体" w:hint="default"/>
                <w:b w:val="0"/>
                <w:i w:val="0"/>
                <w:color w:val="333333"/>
                <w:sz w:val="24"/>
                <w:szCs w:val="22"/>
                <w:vertAlign w:val="superscript"/>
              </w:rPr>
              <w:t>[8]</w:t>
            </w:r>
            <w:r>
              <w:rPr>
                <w:rFonts w:ascii="宋体" w:eastAsia="宋体" w:hAnsi="宋体" w:cs="宋体" w:hint="default"/>
                <w:b w:val="0"/>
                <w:i w:val="0"/>
                <w:color w:val="333333"/>
                <w:sz w:val="24"/>
                <w:szCs w:val="22"/>
              </w:rPr>
              <w:t>。黄雅琦（2021）则关注于过渡金属复合纳米材料的制备及其在无酶葡萄糖传感器中的应用，强调了金属离子对传感器性能的影响</w:t>
            </w:r>
            <w:r>
              <w:rPr>
                <w:rFonts w:ascii="宋体" w:eastAsia="宋体" w:hAnsi="宋体" w:cs="宋体" w:hint="default"/>
                <w:b w:val="0"/>
                <w:i w:val="0"/>
                <w:color w:val="333333"/>
                <w:sz w:val="24"/>
                <w:szCs w:val="22"/>
                <w:vertAlign w:val="superscript"/>
              </w:rPr>
              <w:t>[9]</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黄小梅等（2022）研究了Cu(Ⅱ)Co(Ⅱ)双金属碳纳米片在无酶葡萄糖传感器中的应用，结果显示其具有优异的电催化性能</w:t>
            </w:r>
            <w:r>
              <w:rPr>
                <w:rFonts w:ascii="宋体" w:eastAsia="宋体" w:hAnsi="宋体" w:cs="宋体" w:hint="default"/>
                <w:b w:val="0"/>
                <w:i w:val="0"/>
                <w:color w:val="333333"/>
                <w:sz w:val="24"/>
                <w:szCs w:val="22"/>
                <w:vertAlign w:val="superscript"/>
              </w:rPr>
              <w:t>[10]</w:t>
            </w:r>
            <w:r>
              <w:rPr>
                <w:rFonts w:ascii="宋体" w:eastAsia="宋体" w:hAnsi="宋体" w:cs="宋体" w:hint="default"/>
                <w:b w:val="0"/>
                <w:i w:val="0"/>
                <w:color w:val="333333"/>
                <w:sz w:val="24"/>
                <w:szCs w:val="22"/>
              </w:rPr>
              <w:t>。周鑫驰（2023）提出了一种基于金属离子掺杂碳点的比色阵列传感器的新方法，展现了其在生物硫醇检测中的潜力</w:t>
            </w:r>
            <w:r>
              <w:rPr>
                <w:rFonts w:ascii="宋体" w:eastAsia="宋体" w:hAnsi="宋体" w:cs="宋体" w:hint="default"/>
                <w:b w:val="0"/>
                <w:i w:val="0"/>
                <w:color w:val="333333"/>
                <w:sz w:val="24"/>
                <w:szCs w:val="22"/>
                <w:vertAlign w:val="superscript"/>
              </w:rPr>
              <w:t>[11]</w:t>
            </w:r>
            <w:r>
              <w:rPr>
                <w:rFonts w:ascii="宋体" w:eastAsia="宋体" w:hAnsi="宋体" w:cs="宋体" w:hint="default"/>
                <w:b w:val="0"/>
                <w:i w:val="0"/>
                <w:color w:val="333333"/>
                <w:sz w:val="24"/>
                <w:szCs w:val="22"/>
              </w:rPr>
              <w:t>。邓雨晴（2023）则研究了金属有机框架@纳米纤维素复合荧光传感器的构筑及其在重金属检测中的应用</w:t>
            </w:r>
            <w:r>
              <w:rPr>
                <w:rFonts w:ascii="宋体" w:eastAsia="宋体" w:hAnsi="宋体" w:cs="宋体" w:hint="default"/>
                <w:b w:val="0"/>
                <w:i w:val="0"/>
                <w:color w:val="333333"/>
                <w:sz w:val="24"/>
                <w:szCs w:val="22"/>
                <w:vertAlign w:val="superscript"/>
              </w:rPr>
              <w:t>[12]</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国内外对碳点固定纳米金属构筑葡萄糖传感器的研究不断深入，相关文献为本研究提供了重要的理论支持和实验依据。这些研究不仅丰富了传感器的设计思路，也为实际应用提供了可行的解决方案。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三</w:t>
            </w:r>
            <w:r>
              <w:rPr>
                <w:szCs w:val="21"/>
              </w:rPr>
              <w:t>、</w:t>
            </w:r>
            <w:r>
              <w:rPr>
                <w:rFonts w:hint="eastAsia"/>
                <w:b/>
                <w:bCs/>
                <w:lang w:val="en-US" w:eastAsia="zh-CN"/>
              </w:rPr>
              <w:t>国外研究现状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国外，碳点固定纳米金属构筑葡萄糖传感器的研究逐渐受到重视，相关文献显示了多种新型材料和方法的应用。Torrinha和Morais（2021）对基于碳布和碳纸的电化学传感器进行了综述，指出这些材料在传感器领域的广泛应用潜力</w:t>
            </w:r>
            <w:r>
              <w:rPr>
                <w:rFonts w:ascii="宋体" w:eastAsia="宋体" w:hAnsi="宋体" w:cs="宋体" w:hint="default"/>
                <w:b w:val="0"/>
                <w:i w:val="0"/>
                <w:color w:val="333333"/>
                <w:sz w:val="24"/>
                <w:szCs w:val="22"/>
                <w:vertAlign w:val="superscript"/>
              </w:rPr>
              <w:t>[24]</w:t>
            </w:r>
            <w:r>
              <w:rPr>
                <w:rFonts w:ascii="宋体" w:eastAsia="宋体" w:hAnsi="宋体" w:cs="宋体" w:hint="default"/>
                <w:b w:val="0"/>
                <w:i w:val="0"/>
                <w:color w:val="333333"/>
                <w:sz w:val="24"/>
                <w:szCs w:val="22"/>
              </w:rPr>
              <w:t>。Zhe等（2020）通过原位制备FeSe纳米棒功能化碳布，展示了其在亚硝酸盐电化学检测中的高效性和稳定性</w:t>
            </w:r>
            <w:r>
              <w:rPr>
                <w:rFonts w:ascii="宋体" w:eastAsia="宋体" w:hAnsi="宋体" w:cs="宋体" w:hint="default"/>
                <w:b w:val="0"/>
                <w:i w:val="0"/>
                <w:color w:val="333333"/>
                <w:sz w:val="24"/>
                <w:szCs w:val="22"/>
                <w:vertAlign w:val="superscript"/>
              </w:rPr>
              <w:t>[25]</w:t>
            </w:r>
            <w:r>
              <w:rPr>
                <w:rFonts w:ascii="宋体" w:eastAsia="宋体" w:hAnsi="宋体" w:cs="宋体" w:hint="default"/>
                <w:b w:val="0"/>
                <w:i w:val="0"/>
                <w:color w:val="333333"/>
                <w:sz w:val="24"/>
                <w:szCs w:val="22"/>
              </w:rPr>
              <w:t>。Zhang等（2023）则提出了一种简单且超灵敏的自支撑电化学传感器，利用钴氧化物修饰的碳布实现了对亚硝酸盐的检测</w:t>
            </w:r>
            <w:r>
              <w:rPr>
                <w:rFonts w:ascii="宋体" w:eastAsia="宋体" w:hAnsi="宋体" w:cs="宋体" w:hint="default"/>
                <w:b w:val="0"/>
                <w:i w:val="0"/>
                <w:color w:val="333333"/>
                <w:sz w:val="24"/>
                <w:szCs w:val="22"/>
                <w:vertAlign w:val="superscript"/>
              </w:rPr>
              <w:t>[26]</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在银纳米颗粒的电化学沉积方面，Zhao等（2022）研究了使用PVA改性碳布阴极沉积花状纳米结构银颗粒的方法，显示出良好的电化学性能</w:t>
            </w:r>
            <w:r>
              <w:rPr>
                <w:rFonts w:ascii="宋体" w:eastAsia="宋体" w:hAnsi="宋体" w:cs="宋体" w:hint="default"/>
                <w:b w:val="0"/>
                <w:i w:val="0"/>
                <w:color w:val="333333"/>
                <w:sz w:val="24"/>
                <w:szCs w:val="22"/>
                <w:vertAlign w:val="superscript"/>
              </w:rPr>
              <w:t>[27]</w:t>
            </w:r>
            <w:r>
              <w:rPr>
                <w:rFonts w:ascii="宋体" w:eastAsia="宋体" w:hAnsi="宋体" w:cs="宋体" w:hint="default"/>
                <w:b w:val="0"/>
                <w:i w:val="0"/>
                <w:color w:val="333333"/>
                <w:sz w:val="24"/>
                <w:szCs w:val="22"/>
              </w:rPr>
              <w:t>。Li等（2024）则利用绿色DBD技术在碳布上原位沉积FeOOH纳米材料，构建了亚硝酸盐电化学传感器，展现了其优异的检测能力</w:t>
            </w:r>
            <w:r>
              <w:rPr>
                <w:rFonts w:ascii="宋体" w:eastAsia="宋体" w:hAnsi="宋体" w:cs="宋体" w:hint="default"/>
                <w:b w:val="0"/>
                <w:i w:val="0"/>
                <w:color w:val="333333"/>
                <w:sz w:val="24"/>
                <w:szCs w:val="22"/>
                <w:vertAlign w:val="superscript"/>
              </w:rPr>
              <w:t>[28]</w:t>
            </w:r>
            <w:r>
              <w:rPr>
                <w:rFonts w:ascii="宋体" w:eastAsia="宋体" w:hAnsi="宋体" w:cs="宋体" w:hint="default"/>
                <w:b w:val="0"/>
                <w:i w:val="0"/>
                <w:color w:val="333333"/>
                <w:sz w:val="24"/>
                <w:szCs w:val="22"/>
              </w:rPr>
              <w:t>。Shen等（2017）开发了可穿戴的编织超级电容器织物，具有高能量密度和承载能力，为传感器的集成提供了新的思路</w:t>
            </w:r>
            <w:r>
              <w:rPr>
                <w:rFonts w:ascii="宋体" w:eastAsia="宋体" w:hAnsi="宋体" w:cs="宋体" w:hint="default"/>
                <w:b w:val="0"/>
                <w:i w:val="0"/>
                <w:color w:val="333333"/>
                <w:sz w:val="24"/>
                <w:szCs w:val="22"/>
                <w:vertAlign w:val="superscript"/>
              </w:rPr>
              <w:t>[29]</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Luo等（2022）研究了强耦合的碳量子点/NiCo-LDHs纳米片在碳布上的应用，作为高性能柔性超级电容器的电极材料，显示了良好的电化学特性</w:t>
            </w:r>
            <w:r>
              <w:rPr>
                <w:rFonts w:ascii="宋体" w:eastAsia="宋体" w:hAnsi="宋体" w:cs="宋体" w:hint="default"/>
                <w:b w:val="0"/>
                <w:i w:val="0"/>
                <w:color w:val="333333"/>
                <w:sz w:val="24"/>
                <w:szCs w:val="22"/>
                <w:vertAlign w:val="superscript"/>
              </w:rPr>
              <w:t>[30]</w:t>
            </w:r>
            <w:r>
              <w:rPr>
                <w:rFonts w:ascii="宋体" w:eastAsia="宋体" w:hAnsi="宋体" w:cs="宋体" w:hint="default"/>
                <w:b w:val="0"/>
                <w:i w:val="0"/>
                <w:color w:val="333333"/>
                <w:sz w:val="24"/>
                <w:szCs w:val="22"/>
              </w:rPr>
              <w:t>。Cao等（2023）提出了一种新型的CuS纳米片锚定在空心Ni(OH)₂纳米球上的电化学传感器，显著提升了非酶葡萄糖传感的性能</w:t>
            </w:r>
            <w:r>
              <w:rPr>
                <w:rFonts w:ascii="宋体" w:eastAsia="宋体" w:hAnsi="宋体" w:cs="宋体" w:hint="default"/>
                <w:b w:val="0"/>
                <w:i w:val="0"/>
                <w:color w:val="333333"/>
                <w:sz w:val="24"/>
                <w:szCs w:val="22"/>
                <w:vertAlign w:val="superscript"/>
              </w:rPr>
              <w:t>[31]</w:t>
            </w:r>
            <w:r>
              <w:rPr>
                <w:rFonts w:ascii="宋体" w:eastAsia="宋体" w:hAnsi="宋体" w:cs="宋体" w:hint="default"/>
                <w:b w:val="0"/>
                <w:i w:val="0"/>
                <w:color w:val="333333"/>
                <w:sz w:val="24"/>
                <w:szCs w:val="22"/>
              </w:rPr>
              <w:t>。Koley等（2024）则探讨了在3D打印金属基底上固定纳米酶以增强其类过氧化物酶活性和痕量葡萄糖检测的可能性</w:t>
            </w:r>
            <w:r>
              <w:rPr>
                <w:rFonts w:ascii="宋体" w:eastAsia="宋体" w:hAnsi="宋体" w:cs="宋体" w:hint="default"/>
                <w:b w:val="0"/>
                <w:i w:val="0"/>
                <w:color w:val="333333"/>
                <w:sz w:val="24"/>
                <w:szCs w:val="22"/>
                <w:vertAlign w:val="superscript"/>
              </w:rPr>
              <w:t>[32]</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Bich等（2023）合成了AuPt双金属纳米立方体与石墨烯量子点的复合材料，利用电化学方法实现了非酶葡萄糖传感器的开发，展现了良好的灵敏度和选择性</w:t>
            </w:r>
            <w:r>
              <w:rPr>
                <w:rFonts w:ascii="宋体" w:eastAsia="宋体" w:hAnsi="宋体" w:cs="宋体" w:hint="default"/>
                <w:b w:val="0"/>
                <w:i w:val="0"/>
                <w:color w:val="333333"/>
                <w:sz w:val="24"/>
                <w:szCs w:val="22"/>
                <w:vertAlign w:val="superscript"/>
              </w:rPr>
              <w:t>[33]</w:t>
            </w:r>
            <w:r>
              <w:rPr>
                <w:rFonts w:ascii="宋体" w:eastAsia="宋体" w:hAnsi="宋体" w:cs="宋体" w:hint="default"/>
                <w:b w:val="0"/>
                <w:i w:val="0"/>
                <w:color w:val="333333"/>
                <w:sz w:val="24"/>
                <w:szCs w:val="22"/>
              </w:rPr>
              <w:t>。Imran等（2024）研究了基于ZnO添加剂的二元金属硫化物纳米复合材料，作为一种双功能电极材料，既可用于能量存储也可用于葡萄糖传感</w:t>
            </w:r>
            <w:r>
              <w:rPr>
                <w:rFonts w:ascii="宋体" w:eastAsia="宋体" w:hAnsi="宋体" w:cs="宋体" w:hint="default"/>
                <w:b w:val="0"/>
                <w:i w:val="0"/>
                <w:color w:val="333333"/>
                <w:sz w:val="24"/>
                <w:szCs w:val="22"/>
                <w:vertAlign w:val="superscript"/>
              </w:rPr>
              <w:t>[34]</w:t>
            </w:r>
            <w:r>
              <w:rPr>
                <w:rFonts w:ascii="宋体" w:eastAsia="宋体" w:hAnsi="宋体" w:cs="宋体" w:hint="default"/>
                <w:b w:val="0"/>
                <w:i w:val="0"/>
                <w:color w:val="333333"/>
                <w:sz w:val="24"/>
                <w:szCs w:val="22"/>
              </w:rPr>
              <w:t>。Yang等（2024）开发了由金属有机框架（MOFs）衍生的哑铃形纳米复合材料Co₃O₄/CeO₂，作为优异的非酶葡萄糖传感器，显示出良好的电化学性能</w:t>
            </w:r>
            <w:r>
              <w:rPr>
                <w:rFonts w:ascii="宋体" w:eastAsia="宋体" w:hAnsi="宋体" w:cs="宋体" w:hint="default"/>
                <w:b w:val="0"/>
                <w:i w:val="0"/>
                <w:color w:val="333333"/>
                <w:sz w:val="24"/>
                <w:szCs w:val="22"/>
                <w:vertAlign w:val="superscript"/>
              </w:rPr>
              <w:t>[35]</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Dong等（2024）提出了一种简便高效的合成方法，制备了毛球形金属有机框架/硫化镍纳米异质结，以提升电化学葡萄糖传感的性能</w:t>
            </w:r>
            <w:r>
              <w:rPr>
                <w:rFonts w:ascii="宋体" w:eastAsia="宋体" w:hAnsi="宋体" w:cs="宋体" w:hint="default"/>
                <w:b w:val="0"/>
                <w:i w:val="0"/>
                <w:color w:val="333333"/>
                <w:sz w:val="24"/>
                <w:szCs w:val="22"/>
                <w:vertAlign w:val="superscript"/>
              </w:rPr>
              <w:t>[36]</w:t>
            </w:r>
            <w:r>
              <w:rPr>
                <w:rFonts w:ascii="宋体" w:eastAsia="宋体" w:hAnsi="宋体" w:cs="宋体" w:hint="default"/>
                <w:b w:val="0"/>
                <w:i w:val="0"/>
                <w:color w:val="333333"/>
                <w:sz w:val="24"/>
                <w:szCs w:val="22"/>
              </w:rPr>
              <w:t>。Qiyue等（2024）研究了耐热二维金属有机层/纤维素纳米纤维气凝胶在异环芳香胺的快速大容量吸附中的应用，展示了其在环境监测中的潜力</w:t>
            </w:r>
            <w:r>
              <w:rPr>
                <w:rFonts w:ascii="宋体" w:eastAsia="宋体" w:hAnsi="宋体" w:cs="宋体" w:hint="default"/>
                <w:b w:val="0"/>
                <w:i w:val="0"/>
                <w:color w:val="333333"/>
                <w:sz w:val="24"/>
                <w:szCs w:val="22"/>
                <w:vertAlign w:val="superscript"/>
              </w:rPr>
              <w:t>[37]</w:t>
            </w:r>
            <w:r>
              <w:rPr>
                <w:rFonts w:ascii="宋体" w:eastAsia="宋体" w:hAnsi="宋体" w:cs="宋体" w:hint="default"/>
                <w:b w:val="0"/>
                <w:i w:val="0"/>
                <w:color w:val="333333"/>
                <w:sz w:val="24"/>
                <w:szCs w:val="22"/>
              </w:rPr>
              <w:t>。Abdelsalam等（2024）合成了由六角石墨烯量子点构成的新型纳米带，探讨了其电子、光学和传感特性</w:t>
            </w:r>
            <w:r>
              <w:rPr>
                <w:rFonts w:ascii="宋体" w:eastAsia="宋体" w:hAnsi="宋体" w:cs="宋体" w:hint="default"/>
                <w:b w:val="0"/>
                <w:i w:val="0"/>
                <w:color w:val="333333"/>
                <w:sz w:val="24"/>
                <w:szCs w:val="22"/>
                <w:vertAlign w:val="superscript"/>
              </w:rPr>
              <w:t>[38]</w:t>
            </w:r>
            <w:r>
              <w:rPr>
                <w:rFonts w:ascii="宋体" w:eastAsia="宋体" w:hAnsi="宋体" w:cs="宋体" w:hint="default"/>
                <w:b w:val="0"/>
                <w:i w:val="0"/>
                <w:color w:val="333333"/>
                <w:sz w:val="24"/>
                <w:szCs w:val="22"/>
              </w:rPr>
              <w:t>。Gyakushi等（2024）研究了随机分布的金属纳米点阵的单电子导电特性，为新型传感器的设计提供了理论基础</w:t>
            </w:r>
            <w:r>
              <w:rPr>
                <w:rFonts w:ascii="宋体" w:eastAsia="宋体" w:hAnsi="宋体" w:cs="宋体" w:hint="default"/>
                <w:b w:val="0"/>
                <w:i w:val="0"/>
                <w:color w:val="333333"/>
                <w:sz w:val="24"/>
                <w:szCs w:val="22"/>
                <w:vertAlign w:val="superscript"/>
              </w:rPr>
              <w:t>[39]</w:t>
            </w:r>
            <w:r>
              <w:rPr>
                <w:rFonts w:ascii="宋体" w:eastAsia="宋体" w:hAnsi="宋体" w:cs="宋体" w:hint="default"/>
                <w:b w:val="0"/>
                <w:i w:val="0"/>
                <w:color w:val="333333"/>
                <w:sz w:val="24"/>
                <w:szCs w:val="22"/>
              </w:rPr>
              <w:t>。Tauheeda等（2024）探讨了碳点和氮掺杂碳点-金属氧化物纳米复合材料在离子有效传感中的应用，展现了其在传感器领域的广泛应用前景</w:t>
            </w:r>
            <w:r>
              <w:rPr>
                <w:rFonts w:ascii="宋体" w:eastAsia="宋体" w:hAnsi="宋体" w:cs="宋体" w:hint="default"/>
                <w:b w:val="0"/>
                <w:i w:val="0"/>
                <w:color w:val="333333"/>
                <w:sz w:val="24"/>
                <w:szCs w:val="22"/>
                <w:vertAlign w:val="superscript"/>
              </w:rPr>
              <w:t>[40]</w:t>
            </w:r>
            <w:r>
              <w:rPr>
                <w:rFonts w:ascii="宋体" w:eastAsia="宋体" w:hAnsi="宋体" w:cs="宋体" w:hint="default"/>
                <w:b w:val="0"/>
                <w:i w:val="0"/>
                <w:color w:val="333333"/>
                <w:sz w:val="24"/>
                <w:szCs w:val="22"/>
              </w:rPr>
              <w:t>。Rustem等（2024）则通过扫描量子点显微镜量化了金属表面原子纳米结构的静电势，为纳米传感器的设计提供了新的思路</w:t>
            </w:r>
            <w:r>
              <w:rPr>
                <w:rFonts w:ascii="宋体" w:eastAsia="宋体" w:hAnsi="宋体" w:cs="宋体" w:hint="default"/>
                <w:b w:val="0"/>
                <w:i w:val="0"/>
                <w:color w:val="333333"/>
                <w:sz w:val="24"/>
                <w:szCs w:val="22"/>
                <w:vertAlign w:val="superscript"/>
              </w:rPr>
              <w:t>[41]</w:t>
            </w:r>
            <w:r>
              <w:rPr>
                <w:rFonts w:ascii="宋体" w:eastAsia="宋体" w:hAnsi="宋体" w:cs="宋体" w:hint="default"/>
                <w:b w:val="0"/>
                <w:i w:val="0"/>
                <w:color w:val="333333"/>
                <w:sz w:val="24"/>
                <w:szCs w:val="22"/>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四</w:t>
            </w:r>
            <w:r>
              <w:rPr>
                <w:szCs w:val="21"/>
              </w:rPr>
              <w:t>、</w:t>
            </w:r>
            <w:r>
              <w:rPr>
                <w:rFonts w:hint="eastAsia"/>
                <w:b/>
                <w:bCs/>
                <w:lang w:val="en-US" w:eastAsia="zh-CN"/>
              </w:rPr>
              <w:t>研究目标与内容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本研究的主要目标是开发一种基于碳点固定纳米金属的葡萄糖传感器，以实现对葡萄糖浓度的高灵敏度和选择性检测。随着糖尿病等代谢性疾病的日益普遍，快速、准确的葡萄糖监测手段显得尤为重要。构建一种新型的葡萄糖传感器，不仅能够满足临床需求，还能为相关领域的研究提供新的思路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具体而言，本研究将围绕以下几个核心内容展开：合成具有优良光学特性和电化学活性的碳点，并通过调节合成条件来优化其性能。碳点作为传感器的核心材料，具有优异的生物相容性和稳定性，能够有效提高传感器的灵敏度和选择性。将纳米金属（如金、银等）与碳点进行复合，构建碳点固定纳米金属复合材料。通过调节纳米金属的形态和分布，探索其对葡萄糖氧化反应的催化作用，从而提升传感器的响应速度和检测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本研究还将系统评估所构建传感器的性能，包括灵敏度、选择性、稳定性和重复性等指标。通过与传统葡萄糖传感器的对比，验证新型传感器在实际应用中的优势。结合实验结果，探讨碳点固定纳米金属在其他生物分子检测中的潜在应用，为未来的传感器设计提供理论依据和实践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本研究不仅旨在开发一种高性能的葡萄糖传感器，还希望通过对材料的深入研究，推动纳米技术在生物传感器领域的应用，为相关疾病的早期诊断和监测提供新的解决方案。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五</w:t>
            </w:r>
            <w:r>
              <w:rPr>
                <w:szCs w:val="21"/>
              </w:rPr>
              <w:t>、</w:t>
            </w:r>
            <w:r>
              <w:rPr>
                <w:rFonts w:hint="eastAsia"/>
                <w:b/>
                <w:bCs/>
                <w:lang w:val="en-US" w:eastAsia="zh-CN"/>
              </w:rPr>
              <w:t>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本研究旨在探讨碳点固定纳米金属构筑葡萄糖传感器的有效性与可行性，采用多种研究方法相结合的方式，以确保研究的全面性和科学性。我们将通过化学合成法制备碳点。具体而言，选用合适的前驱体，通过高温热解或水热法合成具有良好荧光特性的碳点。在合成过程中，将对反应条件（如温度、时间、前驱体浓度等）进行系统优化，以获得最佳的碳点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纳米金属的选择与制备也是本研究的重要环节。我们将选择适合的金属纳米颗粒（如金、银、铂等），通过化学还原法或物理气相沉积法进行制备。制备过程中，将重点关注纳米颗粒的形貌、尺寸及分散性，以确保其在传感器中的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在碳点与纳米金属的复合过程中，我们将采用自组装法或化学交联法，将碳点固定在纳米金属表面。通过调节反应条件，优化复合物的结构与性能，以提高传感器的灵敏度和选择性。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随后，针对构筑的葡萄糖传感器，我们将进行电化学测试。采用循环伏安法（CV）和计时电流法（CA）等电化学技术，评估传感器对葡萄糖的响应特性，包括灵敏度、检测限及线性范围等。通过对不同干扰物质的测试，评估传感器的选择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结合实验数据，我们将对传感器的性能进行分析与讨论，探讨其在实际应用中的潜力与局限性。通过以上研究方法的系统实施，我们期望能够为碳点固定纳米金属构筑葡萄糖传感器的开发提供理论基础与实践指导。</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lang w:val="en-US" w:eastAsia="zh-CN"/>
              </w:rPr>
            </w:pPr>
            <w:r>
              <w:rPr>
                <w:rFonts w:hint="eastAsia"/>
                <w:b/>
                <w:bCs/>
                <w:lang w:val="en-US" w:eastAsia="zh-CN"/>
              </w:rPr>
              <w:t>六</w:t>
            </w:r>
            <w:r>
              <w:rPr>
                <w:szCs w:val="21"/>
              </w:rPr>
              <w:t>、</w:t>
            </w:r>
            <w:r>
              <w:rPr>
                <w:rFonts w:hint="eastAsia"/>
                <w:b/>
                <w:bCs/>
                <w:lang w:val="en-US" w:eastAsia="zh-CN"/>
              </w:rPr>
              <w:t>工作条件及解决办法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进行碳点固定纳米金属构筑葡萄糖传感器的研究过程中，工作条件的选择与优化至关重要。实验室环境的控制是确保实验结果可靠性的基础。我们需要在温度、湿度和洁净度等方面进行严格管理，以避免外界因素对实验结果的干扰。具体而言，实验室的温度应保持在20-25摄氏度之间，湿度控制在40%-60%之间，确保实验材料的稳定性和反应的可重复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实验材料的选择与处理也是影响实验结果的重要因素。在制备碳点和纳米金属的过程中，我们需选用高纯度的化学试剂，并严格按照标准操作规程进行处理，以减少杂质的引入。碳点的合成方法应根据具体需求进行优化，例如采用水热法或化学还原法，以获得所需的粒径和形态。纳米金属的沉积过程也需在惰性气体氛围下进行，以防止氧化和其他不良反应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在实验过程中，数据的采集与分析同样需要精确和系统。我们将采用高灵敏度的电化学分析仪器，结合适当的电极材料，以提高传感器的响应速度和灵敏度。数据处理软件的选择也应考虑到其对实验数据的处理能力和分析精度，以确保最终结果的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ascii="宋体" w:eastAsia="宋体" w:hAnsi="宋体" w:cs="宋体" w:hint="default"/>
                <w:b w:val="0"/>
                <w:i w:val="0"/>
                <w:color w:val="333333"/>
                <w:sz w:val="24"/>
                <w:szCs w:val="22"/>
              </w:rPr>
              <w:t>针对可能出现的问题，我们需制定相应的解决办法。在实验过程中若出现传感器灵敏度不足的情况，可以通过优化碳点与纳米金属的比例，或调整传感器的工作环境来进行改善。定期对实验设备进行校准和维护，以确保其正常运行，减少误差的产生。通过以上措施，我们将能够有效提升碳点固定纳米金属构筑葡萄糖传感器的性能，为后续的研究奠定坚实的基础。</w:t>
            </w:r>
          </w:p>
          <w:p w14:paraId="4B7EE1FA">
            <w:pPr>
              <w:adjustRightInd w:val="0"/>
              <w:snapToGrid w:val="0"/>
              <w:rPr>
                <w:bCs/>
                <w:szCs w:val="21"/>
              </w:rPr>
            </w:pPr>
          </w:p>
          <w:p w14:paraId="61E2466E">
            <w:pPr>
              <w:adjustRightInd w:val="0"/>
              <w:snapToGrid w:val="0"/>
              <w:rPr>
                <w:szCs w:val="21"/>
              </w:rPr>
            </w:pPr>
          </w:p>
        </w:tc>
      </w:tr>
      <w:tr w14:paraId="25241DF1">
        <w:tblPrEx>
          <w:tblW w:w="9642" w:type="dxa"/>
          <w:jc w:val="center"/>
          <w:tblLayout w:type="fixed"/>
          <w:tblCellMar>
            <w:top w:w="0" w:type="dxa"/>
            <w:left w:w="108" w:type="dxa"/>
            <w:bottom w:w="0" w:type="dxa"/>
            <w:right w:w="108" w:type="dxa"/>
          </w:tblCellMar>
        </w:tblPrEx>
        <w:trPr>
          <w:trHeight w:val="7486"/>
          <w:jc w:val="center"/>
        </w:trPr>
        <w:tc>
          <w:tcPr>
            <w:tcW w:w="9642" w:type="dxa"/>
            <w:gridSpan w:val="10"/>
            <w:tcBorders>
              <w:top w:val="single" w:sz="8" w:space="0" w:color="auto"/>
              <w:left w:val="single" w:sz="12" w:space="0" w:color="auto"/>
              <w:bottom w:val="single" w:sz="12" w:space="0" w:color="000000"/>
              <w:right w:val="single" w:sz="12" w:space="0" w:color="auto"/>
            </w:tcBorders>
            <w:noWrap w:val="0"/>
            <w:tcMar>
              <w:left w:w="113" w:type="dxa"/>
              <w:right w:w="113" w:type="dxa"/>
            </w:tcMar>
            <w:vAlign w:val="top"/>
          </w:tcPr>
          <w:p w14:paraId="65AF3791">
            <w:pPr>
              <w:numPr>
                <w:ilvl w:val="0"/>
                <w:numId w:val="0"/>
              </w:numPr>
              <w:spacing w:line="360" w:lineRule="auto"/>
              <w:rPr>
                <w:rFonts w:hint="default"/>
                <w:b/>
                <w:bCs/>
                <w:sz w:val="26"/>
              </w:rPr>
            </w:pPr>
            <w:r>
              <w:rPr>
                <w:b/>
                <w:bCs/>
                <w:szCs w:val="21"/>
              </w:rPr>
              <w:t>主要参考文献</w:t>
            </w:r>
          </w:p>
          <w:p w14:paraId="468CCCD5">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田亮, 蓝海天, 李静, 等. 基于碳基材料的柔性电化学传感器研究进展[J]. Advances in Analytical Chemistry, 2021, 11: 108.</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许健, 竺培显, 韩朝辉, 等. 表面处理对碳纤维基 β-PbO 2 电极性能的影响[J]. 材料工程, 2018, 46(1): 125-132.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闫时建,郭锦,同阳,等.用于一体化电极的碳布改性综述[J].电池,2024,54(01):121-125.DOI:10.19535/j.1001-1579.2024.01.027.</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安颀祺.基于金属有机框架构建便携式无酶电化学葡萄糖传感器[D].桂林电子科技大学,2023.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范树兴.基于碳纳米材料/金属氧化物复合结构的低温柔性气体传感器研究[D].山东师范大学,2023.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顾云龙.基于金属氧化物纳米材料的气体传感器研究[D].山东工商学院,2023.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王世杰,崔诗琦,姜晓冬,等.纳米花固定化葡萄糖异构酶的制备及性能分析[J].现代食品科技,2023,39(11):78-85.</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张树纬.非金属半导体量子点纳米复合物基葡萄糖传感器的电化学发光性能研究[D].新疆师范大学,2021.</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黄雅琦.基于过渡金属复合纳米材料的制备及其在无酶葡萄糖传感器中的应用[D].重庆大学,2021.</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黄小梅,邓祥,邢浪漫,等.Cu(Ⅱ)Co(Ⅱ)双金属碳纳米片用于无酶葡萄糖传感器[J].应用化学,2022,39(12):1891-1902.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周鑫驰.基于金属离子掺杂碳点的比色阵列传感器的生物硫醇检测新方法研究及其疾病诊断应用[D].南京邮电大学,2023.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邓雨晴.金属有机框架@纳米纤维素复合荧光传感器的构筑及UO_2~(2+)检测性能[D].南京林业大学,2023.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韩爱玲,李超然,吉米,等.基于金属纳米团簇的荧光传感器在食品安全检测中的应用研究进展[J].食品安全质量检测学报,2023,14(13):56-64.</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杨光炜,李建平.金属有机框架MOF-808(Zr/Ce)纳米酶电化学传感器检测丙溴磷[J].分析化学,2023,51(07):1112-1121.</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朱海兵,石凤,杨占军.金属氧化物和硫化物纳米复合材料在电化学葡萄糖传感器中的研究进展[J].化学传感器,2023,43(03):26-40.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李嘉伟,晏菲,范晓红.金属有机框架在纳米生物传感器领域应用研究进展[J].现代仪器与医疗,2023,29(04):53-58.</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王英,成婧,许银玉,等.基于金纳米团簇/氧化石墨烯的高灵敏复合荧光纳米传感器检测水产品中重金属汞离子[J].食品安全质量检测学报,2023,14(14):227-235.</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杨桐.过渡金属基多级中空纳米结构材料的葡萄糖传感器研究[D].武汉大学,2023.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颜文菊,张子豪,庞元昊,等.基于碳点与金属有机框架复合材料的葡萄糖直接电化学传感平台[J].分析化学,2024,52(03):439-452.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崔帆,赵莹,王爽,等.铋纳米粒子/花状碳球电化学传感器的构建及葛根中重金属的检测研究[J].沈阳药科大学学报,2023,40(06):745-752.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邹海涵.Co/Ni双金属超薄有机金属框架结构纳米片应用于电化学无酶葡萄糖传感器的研究[D].北京交通大学,2020.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赖晓璇,郑慧彤,马卓瑶,等.基于碳布负载四氧化三钴纳米针材料作为无酶型葡萄糖传感器的研究[J].广州化工,2023,51(14):53-55+80.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杨云霞.贵金属纳米材料电化学生物传感器在有机磷农残检测中的应用[D].燕山大学,2023.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Torrinha Á, Morais S. Electrochemical (bio) sensors based on carbon cloth and carbon paper: An overview[J]. TrAC Trends in Analytical Chemistry, 2021, 142: 116324.</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Zhe T, Li R, Wang Q, et al. In situ preparation of FeSe nanorods-functionalized carbon cloth for efficient and stable electrochemical detection of nitrite[J]. Sensors and Actuators B: Chemical, 2020, 321: 128452.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Zhang J, Sun B, Zhang X, et al. Simple and ultrasensitive self-supporting electrochemical sensor for nitrite based on cobalt oxide grafted carbon cloth[J]. Materials Chemistry and Physics, 2023, 303: 127763.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Zhao B A, Cai W F, Pu K B, et al. Electrochemical deposition of flower-like nanostructured silver particles with a PVA modified carbon cloth cathode[J]. RSC advances, 2022, 12(34): 21793-21800.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Li E, Fu J, Zhou S, et al. Construction of nitrite electrochemical sensor by in-situ deposition of FeOOH nanomaterials on carbon cloth modified with green DBD technology[J]. Microchemical Journal, 2024, 205: 111264.</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Shen C, Xie Y, Zhu B, et al. Wearable woven supercapacitor fabrics with high energy density and load-bearing capability[J]. Scientific reports, 2017, 7(1): 14324.</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Luo W, Chen W, Quan H, et al. Strongly coupled carbon quantum dots/NiCo-LDHs nanosheets on carbon cloth as electrode for high performance flexible supercapacitors[J]. Applied Surface Science, 2022, 591: 153161.</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Cao W, Guo T, Ding Y, et al. Substantially boosting the performance of non-enzymatic glucose sensing: Introducing a novel CuS nanosheet anchored on hollow Ni (OH) 2 nanosphere[J]. Applied Surface Science, 2023, 634: 157650.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Koley P ,Jakku R ,Hosseinnejad T , et al.Immobilizing nanozymes on 3D-printed metal substrates for enhanced peroxidase-like activity and trace-level glucose detection.[J].Nanoscale,2024,</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Bich T T Q ,Thien N P T ,Nhu N H , et al.Novel synthesis of AuPt bimetallic nanocubes combined with graphene quantum dots for non-enzymatic sensor of glucose determination by electrochemical method[J].Chemical Papers,2023,78(4):2235-2246.</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ImranM ,KhanS M ,AfzalM A , et al.Binary metallic sulphide‐based nanocomposites with ZnO additives: A dual‐functioning electrode material for energy storage and glucose sensing[J].The Canadian Journal of Chemical Engineering,2024,102(6):2184-2196.</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Yang K ,Cheng S ,Yao Z , et al.Dumbbell shaped nanocomposite Co3O4/CeO2 derived from metal-organic frameworks (MOFs) as an excellent non-enzymatic glucose sensor[J].Solid State Sciences,2024,150107498-.</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Dong S ,Wu J ,Li L , et al.Facile and efﬁcient synthesis of sweater-ball shaped metal-organic framework/nickel sulfide nanoheterojunction for boosting electrochemical glucose sensing.[J].Talanta,2024,275126129-126129.</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Qiyue Z ,Hong-Man H ,Yulong Q , et al.Rapid and large-capacity adsorption of heterocyclic aromatic amines on heat resistant two-dimensional metal organic layer/cellulose nanofiber aerogels constructed by a thawing cross-linking strategy[J].Journal of Hazardous Materials,2024,465133160-.</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Abdelsalam H ,Elkader A H O ,Sakr A M , et al.Novel nanobelts constructed from hexagonal graphene quantum dots: Electronic, optical, and sensing properties[J].Results in Physics,2024,57107412-.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Gyakushi T ,Amano I ,Tanizawa R , et al.Characteristics of the single-electron conduction properties of randomly distributed metal nanodot arrays[J].Japanese Journal of Applied Physics,2024,63(2):</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1"/>
                <w:szCs w:val="21"/>
                <w:lang w:val="en-US" w:eastAsia="zh-CN" w:bidi="ar-SA"/>
              </w:rPr>
              <w:t>Tauheeda R ,Raheela A ,Tayyaba S , et al.Carbon dots and nitrogen-doped carbon dots-metal oxide nanocomposites: robust agents for effective sensing of ions[J].Journal of Materials Science: Materials in Electronics,2024,35(13):</w:t>
            </w:r>
          </w:p>
          <w:p>
            <w:pPr>
              <w:keepNext w:val="0"/>
              <w:keepLines w:val="0"/>
              <w:pageBreakBefore w:val="0"/>
              <w:numPr>
                <w:ilvl w:val="0"/>
                <w:numId w:val="1"/>
              </w:numPr>
              <w:kinsoku/>
              <w:wordWrap/>
              <w:overflowPunct/>
              <w:topLinePunct w:val="0"/>
              <w:autoSpaceDE/>
              <w:autoSpaceDN/>
              <w:bidi w:val="0"/>
              <w:snapToGrid/>
              <w:spacing w:line="300" w:lineRule="auto"/>
              <w:ind w:left="0" w:firstLine="0" w:leftChars="0" w:firstLineChars="0"/>
              <w:textAlignment w:val="auto"/>
              <w:rPr>
                <w:rFonts w:ascii="宋体" w:eastAsia="宋体" w:hAnsi="宋体" w:cs="宋体" w:hint="eastAsia"/>
                <w:kern w:val="2"/>
                <w:sz w:val="24"/>
                <w:szCs w:val="24"/>
                <w:lang w:val="en-US" w:eastAsia="zh-CN" w:bidi="ar-SA"/>
              </w:rPr>
            </w:pPr>
            <w:bookmarkStart w:id="0" w:name="_GoBack"/>
            <w:bookmarkEnd w:id="0"/>
            <w:r>
              <w:rPr>
                <w:rFonts w:ascii="宋体" w:eastAsia="宋体" w:hAnsi="宋体" w:cs="宋体" w:hint="eastAsia"/>
                <w:kern w:val="2"/>
                <w:sz w:val="21"/>
                <w:szCs w:val="21"/>
                <w:lang w:val="en-US" w:eastAsia="zh-CN" w:bidi="ar-SA"/>
              </w:rPr>
              <w:t>Rustem B ,M. J G ,Philipp L , et al.Electrostatic potentials of atomic nanostructures at metal surfaces quantified by scanning quantum dot microscopy[J].Nature Communications,2024,15(1):2259-2259.</w:t>
            </w:r>
          </w:p>
        </w:tc>
      </w:tr>
    </w:tbl>
    <w:p w14:paraId="5649A83A">
      <w:pPr>
        <w:spacing w:before="156" w:beforeLines="50"/>
        <w:ind w:left="-708" w:leftChars="-337"/>
        <w:jc w:val="center"/>
        <w:rPr>
          <w:szCs w:val="21"/>
        </w:rPr>
      </w:pPr>
      <w:r>
        <w:rPr>
          <w:szCs w:val="21"/>
        </w:rPr>
        <w:t>学生（签名）：           年    月    日      指导教师（签名）：           年    月    日</w:t>
      </w:r>
    </w:p>
    <w:p w14:paraId="57EE46D2">
      <w:pPr>
        <w:ind w:right="-483" w:rightChars="-230"/>
        <w:jc w:val="left"/>
        <w:rPr>
          <w:sz w:val="18"/>
          <w:szCs w:val="18"/>
        </w:rPr>
      </w:pPr>
    </w:p>
    <w:sectPr>
      <w:footerReference w:type="default" r:id="rId4"/>
      <w:pgSz w:w="11906" w:h="16838"/>
      <w:pgMar w:top="1440" w:right="1800" w:bottom="1440" w:left="1800" w:header="851" w:footer="992" w:gutter="0"/>
      <w:cols w:num="1" w:space="72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24E4C0">
    <w:pPr>
      <w:pStyle w:val="Footer"/>
      <w:jc w:val="center"/>
      <w:rPr>
        <w:rFonts w:hint="eastAsia"/>
      </w:rPr>
    </w:pPr>
    <w:r>
      <w:fldChar w:fldCharType="begin"/>
    </w:r>
    <w:r>
      <w:instrText>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B963753"/>
    <w:multiLevelType w:val="singleLevel"/>
    <w:tmpl w:val="AB963753"/>
    <w:lvl w:ilvl="0">
      <w:start w:val="1"/>
      <w:numFmt w:val="decimal"/>
      <w:suff w:val="nothing"/>
      <w:lvlText w:val="[%1]"/>
      <w:lvlJc w:val="left"/>
      <w:pPr>
        <w:tabs>
          <w:tab w:val="left" w:pos="0"/>
        </w:tabs>
        <w:ind w:left="0" w:firstLine="0" w:leftChars="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16"/>
    <w:rsid w:val="8E3B65F8"/>
    <w:rsid w:val="94FF10F6"/>
    <w:rsid w:val="B53F3422"/>
    <w:rsid w:val="BEB7E5B8"/>
    <w:rsid w:val="C7FD06F9"/>
    <w:rsid w:val="DBB70F1B"/>
    <w:rsid w:val="EAFFB574"/>
    <w:rsid w:val="F5B9F182"/>
    <w:rsid w:val="F7DD2632"/>
    <w:rsid w:val="FCBA07CF"/>
    <w:rsid w:val="00012363"/>
    <w:rsid w:val="000130B6"/>
    <w:rsid w:val="00014F38"/>
    <w:rsid w:val="00024CB9"/>
    <w:rsid w:val="00027C7B"/>
    <w:rsid w:val="00043833"/>
    <w:rsid w:val="00046042"/>
    <w:rsid w:val="00047A03"/>
    <w:rsid w:val="000501C4"/>
    <w:rsid w:val="00055649"/>
    <w:rsid w:val="00066965"/>
    <w:rsid w:val="00070C13"/>
    <w:rsid w:val="00086022"/>
    <w:rsid w:val="00086506"/>
    <w:rsid w:val="00086B0E"/>
    <w:rsid w:val="00097809"/>
    <w:rsid w:val="00097DDB"/>
    <w:rsid w:val="000A46C6"/>
    <w:rsid w:val="000A6E79"/>
    <w:rsid w:val="000B2BF5"/>
    <w:rsid w:val="000C1D48"/>
    <w:rsid w:val="000E0AFC"/>
    <w:rsid w:val="000E19AD"/>
    <w:rsid w:val="000E3AB0"/>
    <w:rsid w:val="000E4ACE"/>
    <w:rsid w:val="000F685F"/>
    <w:rsid w:val="0010055B"/>
    <w:rsid w:val="00122B56"/>
    <w:rsid w:val="00147595"/>
    <w:rsid w:val="00152E17"/>
    <w:rsid w:val="001543A8"/>
    <w:rsid w:val="001578B8"/>
    <w:rsid w:val="00181272"/>
    <w:rsid w:val="001A4AAC"/>
    <w:rsid w:val="001A7393"/>
    <w:rsid w:val="001C5FA4"/>
    <w:rsid w:val="001D0AC1"/>
    <w:rsid w:val="001D30E5"/>
    <w:rsid w:val="001D3DCD"/>
    <w:rsid w:val="001E5E4A"/>
    <w:rsid w:val="001F5A76"/>
    <w:rsid w:val="00203901"/>
    <w:rsid w:val="002100DF"/>
    <w:rsid w:val="00213ADC"/>
    <w:rsid w:val="0021726C"/>
    <w:rsid w:val="002238F3"/>
    <w:rsid w:val="00241048"/>
    <w:rsid w:val="002508D2"/>
    <w:rsid w:val="00263404"/>
    <w:rsid w:val="00266585"/>
    <w:rsid w:val="0029499A"/>
    <w:rsid w:val="002B7765"/>
    <w:rsid w:val="002C756C"/>
    <w:rsid w:val="002D0A52"/>
    <w:rsid w:val="002E07FF"/>
    <w:rsid w:val="002E085E"/>
    <w:rsid w:val="002E4904"/>
    <w:rsid w:val="002F111D"/>
    <w:rsid w:val="00323AC6"/>
    <w:rsid w:val="00326FC4"/>
    <w:rsid w:val="00341898"/>
    <w:rsid w:val="003559D6"/>
    <w:rsid w:val="00363E0A"/>
    <w:rsid w:val="00363EE5"/>
    <w:rsid w:val="00371338"/>
    <w:rsid w:val="00374D69"/>
    <w:rsid w:val="00382CC3"/>
    <w:rsid w:val="00390CBA"/>
    <w:rsid w:val="00394B32"/>
    <w:rsid w:val="003A02F4"/>
    <w:rsid w:val="003A4330"/>
    <w:rsid w:val="003A5176"/>
    <w:rsid w:val="003A6807"/>
    <w:rsid w:val="003B2EEF"/>
    <w:rsid w:val="003B51B4"/>
    <w:rsid w:val="004036AD"/>
    <w:rsid w:val="00412F48"/>
    <w:rsid w:val="00421AC1"/>
    <w:rsid w:val="00422BAE"/>
    <w:rsid w:val="00422D71"/>
    <w:rsid w:val="004316A4"/>
    <w:rsid w:val="00433AC2"/>
    <w:rsid w:val="00446D24"/>
    <w:rsid w:val="00455398"/>
    <w:rsid w:val="00456CD5"/>
    <w:rsid w:val="004662D8"/>
    <w:rsid w:val="00472CC0"/>
    <w:rsid w:val="0047410D"/>
    <w:rsid w:val="004855B3"/>
    <w:rsid w:val="0049157F"/>
    <w:rsid w:val="004932DB"/>
    <w:rsid w:val="004A4603"/>
    <w:rsid w:val="004A6999"/>
    <w:rsid w:val="004B6324"/>
    <w:rsid w:val="004D085F"/>
    <w:rsid w:val="004E7060"/>
    <w:rsid w:val="004F585F"/>
    <w:rsid w:val="00517C14"/>
    <w:rsid w:val="00521D8D"/>
    <w:rsid w:val="005417DE"/>
    <w:rsid w:val="00553CBC"/>
    <w:rsid w:val="00553D93"/>
    <w:rsid w:val="0056342E"/>
    <w:rsid w:val="0056687A"/>
    <w:rsid w:val="0057692D"/>
    <w:rsid w:val="00577288"/>
    <w:rsid w:val="0058541E"/>
    <w:rsid w:val="005877D5"/>
    <w:rsid w:val="005910B3"/>
    <w:rsid w:val="00591CE0"/>
    <w:rsid w:val="005929AE"/>
    <w:rsid w:val="00593CBA"/>
    <w:rsid w:val="005B6CC8"/>
    <w:rsid w:val="005B7CBC"/>
    <w:rsid w:val="005C2051"/>
    <w:rsid w:val="005C4178"/>
    <w:rsid w:val="005D7E94"/>
    <w:rsid w:val="005E57B9"/>
    <w:rsid w:val="005E6EC2"/>
    <w:rsid w:val="005F2489"/>
    <w:rsid w:val="00611265"/>
    <w:rsid w:val="00614C7A"/>
    <w:rsid w:val="00617334"/>
    <w:rsid w:val="00627CDD"/>
    <w:rsid w:val="00632E74"/>
    <w:rsid w:val="0063449A"/>
    <w:rsid w:val="00671125"/>
    <w:rsid w:val="0067365E"/>
    <w:rsid w:val="00682C56"/>
    <w:rsid w:val="00691FAB"/>
    <w:rsid w:val="0069276E"/>
    <w:rsid w:val="00695F90"/>
    <w:rsid w:val="0069751F"/>
    <w:rsid w:val="006A6351"/>
    <w:rsid w:val="006C23A0"/>
    <w:rsid w:val="006C5F4B"/>
    <w:rsid w:val="006D04FF"/>
    <w:rsid w:val="006D38D7"/>
    <w:rsid w:val="006D5065"/>
    <w:rsid w:val="006D602A"/>
    <w:rsid w:val="006D6720"/>
    <w:rsid w:val="006E0A89"/>
    <w:rsid w:val="006F0B52"/>
    <w:rsid w:val="006F20BD"/>
    <w:rsid w:val="007000D0"/>
    <w:rsid w:val="00714715"/>
    <w:rsid w:val="007223EF"/>
    <w:rsid w:val="00727DE5"/>
    <w:rsid w:val="00735EE3"/>
    <w:rsid w:val="00745E89"/>
    <w:rsid w:val="007523ED"/>
    <w:rsid w:val="00755D49"/>
    <w:rsid w:val="007621B8"/>
    <w:rsid w:val="00780569"/>
    <w:rsid w:val="00786814"/>
    <w:rsid w:val="0079035B"/>
    <w:rsid w:val="007A7039"/>
    <w:rsid w:val="007C0D1D"/>
    <w:rsid w:val="007C414D"/>
    <w:rsid w:val="007D09E9"/>
    <w:rsid w:val="007D471D"/>
    <w:rsid w:val="007D4C47"/>
    <w:rsid w:val="007E556A"/>
    <w:rsid w:val="007F19FB"/>
    <w:rsid w:val="007F7B54"/>
    <w:rsid w:val="00816DDF"/>
    <w:rsid w:val="008405B7"/>
    <w:rsid w:val="008453F2"/>
    <w:rsid w:val="00882DAB"/>
    <w:rsid w:val="008935A9"/>
    <w:rsid w:val="00893B11"/>
    <w:rsid w:val="008945E3"/>
    <w:rsid w:val="008A4220"/>
    <w:rsid w:val="008B29FE"/>
    <w:rsid w:val="008B3319"/>
    <w:rsid w:val="008B3A8D"/>
    <w:rsid w:val="008B435D"/>
    <w:rsid w:val="008C4380"/>
    <w:rsid w:val="008C661B"/>
    <w:rsid w:val="008D2C2C"/>
    <w:rsid w:val="008D3E41"/>
    <w:rsid w:val="008F64FF"/>
    <w:rsid w:val="009110DD"/>
    <w:rsid w:val="00915F7C"/>
    <w:rsid w:val="00917CB5"/>
    <w:rsid w:val="009209EF"/>
    <w:rsid w:val="00925D92"/>
    <w:rsid w:val="00932C8C"/>
    <w:rsid w:val="00934002"/>
    <w:rsid w:val="0094226C"/>
    <w:rsid w:val="0094452D"/>
    <w:rsid w:val="00944B2C"/>
    <w:rsid w:val="009456AB"/>
    <w:rsid w:val="00950237"/>
    <w:rsid w:val="00953AB4"/>
    <w:rsid w:val="00956C37"/>
    <w:rsid w:val="009635D7"/>
    <w:rsid w:val="00967ACA"/>
    <w:rsid w:val="00967C9F"/>
    <w:rsid w:val="00971EE1"/>
    <w:rsid w:val="00971FD0"/>
    <w:rsid w:val="00981C22"/>
    <w:rsid w:val="00996512"/>
    <w:rsid w:val="009A3424"/>
    <w:rsid w:val="009B751B"/>
    <w:rsid w:val="009D2BC8"/>
    <w:rsid w:val="009E1226"/>
    <w:rsid w:val="009E3000"/>
    <w:rsid w:val="009F0E34"/>
    <w:rsid w:val="009F4BD1"/>
    <w:rsid w:val="009F591E"/>
    <w:rsid w:val="00A057DD"/>
    <w:rsid w:val="00A10766"/>
    <w:rsid w:val="00A11C48"/>
    <w:rsid w:val="00A30517"/>
    <w:rsid w:val="00A40581"/>
    <w:rsid w:val="00A5529D"/>
    <w:rsid w:val="00A559A7"/>
    <w:rsid w:val="00A57B36"/>
    <w:rsid w:val="00A61153"/>
    <w:rsid w:val="00A634FA"/>
    <w:rsid w:val="00A734FD"/>
    <w:rsid w:val="00A8567D"/>
    <w:rsid w:val="00A93DC4"/>
    <w:rsid w:val="00A95F41"/>
    <w:rsid w:val="00AA3856"/>
    <w:rsid w:val="00AA715E"/>
    <w:rsid w:val="00AB14C9"/>
    <w:rsid w:val="00AB54DD"/>
    <w:rsid w:val="00AD6E45"/>
    <w:rsid w:val="00AE5A82"/>
    <w:rsid w:val="00AE7DF7"/>
    <w:rsid w:val="00AF29FE"/>
    <w:rsid w:val="00AF6867"/>
    <w:rsid w:val="00B01AAC"/>
    <w:rsid w:val="00B06D29"/>
    <w:rsid w:val="00B4248F"/>
    <w:rsid w:val="00B4640E"/>
    <w:rsid w:val="00B64819"/>
    <w:rsid w:val="00B678B1"/>
    <w:rsid w:val="00B76EAF"/>
    <w:rsid w:val="00B866A7"/>
    <w:rsid w:val="00B96395"/>
    <w:rsid w:val="00BA4E18"/>
    <w:rsid w:val="00BB1F3E"/>
    <w:rsid w:val="00BB4CE8"/>
    <w:rsid w:val="00BC28A8"/>
    <w:rsid w:val="00BD191D"/>
    <w:rsid w:val="00BD6D6C"/>
    <w:rsid w:val="00BE196B"/>
    <w:rsid w:val="00BF29EE"/>
    <w:rsid w:val="00BF5BD0"/>
    <w:rsid w:val="00C11806"/>
    <w:rsid w:val="00C1278D"/>
    <w:rsid w:val="00C20377"/>
    <w:rsid w:val="00C24404"/>
    <w:rsid w:val="00C34109"/>
    <w:rsid w:val="00C42C4F"/>
    <w:rsid w:val="00C441FE"/>
    <w:rsid w:val="00C45C4C"/>
    <w:rsid w:val="00C63F66"/>
    <w:rsid w:val="00C73407"/>
    <w:rsid w:val="00C8569F"/>
    <w:rsid w:val="00C8766A"/>
    <w:rsid w:val="00CA46AF"/>
    <w:rsid w:val="00CB0DE2"/>
    <w:rsid w:val="00CB546E"/>
    <w:rsid w:val="00CB5851"/>
    <w:rsid w:val="00CC3816"/>
    <w:rsid w:val="00CE48CD"/>
    <w:rsid w:val="00CF1469"/>
    <w:rsid w:val="00CF287A"/>
    <w:rsid w:val="00CF573B"/>
    <w:rsid w:val="00CF7002"/>
    <w:rsid w:val="00CF79DD"/>
    <w:rsid w:val="00D162FA"/>
    <w:rsid w:val="00D16307"/>
    <w:rsid w:val="00D357E5"/>
    <w:rsid w:val="00D358BB"/>
    <w:rsid w:val="00D50B16"/>
    <w:rsid w:val="00D52909"/>
    <w:rsid w:val="00D57B97"/>
    <w:rsid w:val="00D60805"/>
    <w:rsid w:val="00D618B6"/>
    <w:rsid w:val="00D640C3"/>
    <w:rsid w:val="00D671E1"/>
    <w:rsid w:val="00D71094"/>
    <w:rsid w:val="00D7182F"/>
    <w:rsid w:val="00D82BBF"/>
    <w:rsid w:val="00D85485"/>
    <w:rsid w:val="00D86085"/>
    <w:rsid w:val="00D86A98"/>
    <w:rsid w:val="00D9464F"/>
    <w:rsid w:val="00DA6195"/>
    <w:rsid w:val="00DB3378"/>
    <w:rsid w:val="00DC0BB6"/>
    <w:rsid w:val="00DC4780"/>
    <w:rsid w:val="00DD0E27"/>
    <w:rsid w:val="00DE04B6"/>
    <w:rsid w:val="00DE5745"/>
    <w:rsid w:val="00DF0E40"/>
    <w:rsid w:val="00DF3667"/>
    <w:rsid w:val="00DF7499"/>
    <w:rsid w:val="00E018E6"/>
    <w:rsid w:val="00E0355F"/>
    <w:rsid w:val="00E06A3A"/>
    <w:rsid w:val="00E102C0"/>
    <w:rsid w:val="00E248C2"/>
    <w:rsid w:val="00E347FC"/>
    <w:rsid w:val="00E43789"/>
    <w:rsid w:val="00E43EB3"/>
    <w:rsid w:val="00E45E75"/>
    <w:rsid w:val="00E47529"/>
    <w:rsid w:val="00E47A59"/>
    <w:rsid w:val="00E47A91"/>
    <w:rsid w:val="00E5484A"/>
    <w:rsid w:val="00E61C78"/>
    <w:rsid w:val="00E71998"/>
    <w:rsid w:val="00E731F2"/>
    <w:rsid w:val="00E77E1B"/>
    <w:rsid w:val="00E97CAB"/>
    <w:rsid w:val="00EB4279"/>
    <w:rsid w:val="00EC0C42"/>
    <w:rsid w:val="00EC37A6"/>
    <w:rsid w:val="00EC407A"/>
    <w:rsid w:val="00EE4D30"/>
    <w:rsid w:val="00EE6641"/>
    <w:rsid w:val="00F07134"/>
    <w:rsid w:val="00F13E62"/>
    <w:rsid w:val="00F14A7B"/>
    <w:rsid w:val="00F15252"/>
    <w:rsid w:val="00F23F90"/>
    <w:rsid w:val="00F24A7C"/>
    <w:rsid w:val="00F263AC"/>
    <w:rsid w:val="00F266ED"/>
    <w:rsid w:val="00F31ADA"/>
    <w:rsid w:val="00F327D2"/>
    <w:rsid w:val="00F36A14"/>
    <w:rsid w:val="00F46595"/>
    <w:rsid w:val="00F47E95"/>
    <w:rsid w:val="00F50AB1"/>
    <w:rsid w:val="00F77E77"/>
    <w:rsid w:val="00F83423"/>
    <w:rsid w:val="00F9306F"/>
    <w:rsid w:val="00F966AB"/>
    <w:rsid w:val="00F97E53"/>
    <w:rsid w:val="00FA1930"/>
    <w:rsid w:val="00FB0FDB"/>
    <w:rsid w:val="00FC3E41"/>
    <w:rsid w:val="00FC5EE9"/>
    <w:rsid w:val="00FD2775"/>
    <w:rsid w:val="00FD2AA5"/>
    <w:rsid w:val="00FD3A68"/>
    <w:rsid w:val="00FD69F2"/>
    <w:rsid w:val="00FE6062"/>
    <w:rsid w:val="1643521C"/>
    <w:rsid w:val="3C2F0FC9"/>
    <w:rsid w:val="3EEE8A4E"/>
    <w:rsid w:val="452F4534"/>
    <w:rsid w:val="47FD4AAB"/>
    <w:rsid w:val="49644C4A"/>
    <w:rsid w:val="4E0C3B74"/>
    <w:rsid w:val="527E0315"/>
    <w:rsid w:val="5AFF38F0"/>
    <w:rsid w:val="5B741850"/>
    <w:rsid w:val="5E5C37D3"/>
    <w:rsid w:val="6EEB84DA"/>
    <w:rsid w:val="72F633BF"/>
    <w:rsid w:val="78232774"/>
    <w:rsid w:val="7EB608FE"/>
    <w:rsid w:val="7FFF1AEE"/>
  </w:rsids>
  <w:docVars>
    <w:docVar w:name="commondata" w:val="eyJoZGlkIjoiNWYwYzI4ZWViYjNjYWE0YTUxOGM0MjA4ZTllNTY1YzA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lsdException w:name="toc 2" w:semiHidden="0" w:uiPriority="39" w:qFormat="1"/>
    <w:lsdException w:name="toc 3" w:semiHidden="0"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qFormat="1"/>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qFormat="1"/>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qFormat="1"/>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lsdException w:name="Table Grid" w:semiHidden="0" w:uiPriority="0" w:unhideWhenUsed="0" w:qFormat="1"/>
    <w:lsdException w:name="Table Theme" w:semiHidden="0" w:uiPriority="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
    <w:uiPriority w:val="9"/>
    <w:qFormat/>
    <w:pPr>
      <w:keepNext/>
      <w:keepLines/>
      <w:spacing w:beforeLines="400" w:afterLines="200" w:line="300" w:lineRule="auto"/>
      <w:jc w:val="center"/>
      <w:outlineLvl w:val="0"/>
    </w:pPr>
    <w:rPr>
      <w:rFonts w:eastAsia="华文中宋"/>
      <w:b/>
      <w:bCs/>
      <w:kern w:val="44"/>
      <w:sz w:val="32"/>
      <w:szCs w:val="44"/>
    </w:rPr>
  </w:style>
  <w:style w:type="paragraph" w:styleId="Heading2">
    <w:name w:val="heading 2"/>
    <w:basedOn w:val="Normal"/>
    <w:next w:val="Normal"/>
    <w:link w:val="2"/>
    <w:uiPriority w:val="9"/>
    <w:qFormat/>
    <w:pPr>
      <w:keepNext/>
      <w:keepLines/>
      <w:spacing w:beforeLines="100" w:afterLines="50" w:line="300" w:lineRule="auto"/>
      <w:jc w:val="left"/>
      <w:outlineLvl w:val="1"/>
    </w:pPr>
    <w:rPr>
      <w:b/>
      <w:bCs/>
      <w:sz w:val="28"/>
      <w:szCs w:val="32"/>
    </w:rPr>
  </w:style>
  <w:style w:type="paragraph" w:styleId="Heading3">
    <w:name w:val="heading 3"/>
    <w:basedOn w:val="Normal"/>
    <w:next w:val="Normal"/>
    <w:link w:val="3"/>
    <w:uiPriority w:val="9"/>
    <w:qFormat/>
    <w:pPr>
      <w:keepNext/>
      <w:keepLines/>
      <w:spacing w:beforeLines="50" w:line="300" w:lineRule="auto"/>
      <w:jc w:val="left"/>
      <w:outlineLvl w:val="2"/>
    </w:pPr>
    <w:rPr>
      <w:b/>
      <w:bCs/>
      <w:sz w:val="24"/>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AHeading">
    <w:name w:val="toa heading"/>
    <w:basedOn w:val="Normal"/>
    <w:next w:val="Normal"/>
    <w:uiPriority w:val="99"/>
    <w:unhideWhenUsed/>
    <w:qFormat/>
    <w:pPr>
      <w:spacing w:before="120"/>
    </w:pPr>
    <w:rPr>
      <w:rFonts w:ascii="Arial" w:hAnsi="Arial"/>
    </w:rPr>
  </w:style>
  <w:style w:type="paragraph" w:styleId="CommentText">
    <w:name w:val="annotation text"/>
    <w:basedOn w:val="Normal"/>
    <w:link w:val="a"/>
    <w:pPr>
      <w:jc w:val="left"/>
    </w:pPr>
  </w:style>
  <w:style w:type="paragraph" w:styleId="TOC3">
    <w:name w:val="toc 3"/>
    <w:basedOn w:val="Normal"/>
    <w:next w:val="Normal"/>
    <w:uiPriority w:val="39"/>
    <w:unhideWhenUsed/>
    <w:pPr>
      <w:tabs>
        <w:tab w:val="right" w:leader="dot" w:pos="8777"/>
      </w:tabs>
      <w:spacing w:line="300" w:lineRule="auto"/>
      <w:ind w:left="840" w:leftChars="400"/>
    </w:pPr>
    <w:rPr>
      <w:sz w:val="24"/>
      <w:szCs w:val="22"/>
    </w:rPr>
  </w:style>
  <w:style w:type="paragraph" w:styleId="PlainText">
    <w:name w:val="Plain Text"/>
    <w:basedOn w:val="Normal"/>
    <w:qFormat/>
    <w:rPr>
      <w:rFonts w:ascii="宋体" w:hAnsi="Courier New"/>
      <w:szCs w:val="20"/>
    </w:rPr>
  </w:style>
  <w:style w:type="paragraph" w:styleId="Date">
    <w:name w:val="Date"/>
    <w:basedOn w:val="Normal"/>
    <w:next w:val="Normal"/>
    <w:link w:val="a0"/>
    <w:uiPriority w:val="99"/>
    <w:unhideWhenUsed/>
    <w:qFormat/>
    <w:pPr>
      <w:ind w:left="100" w:leftChars="2500"/>
    </w:pPr>
    <w:rPr>
      <w:sz w:val="24"/>
      <w:szCs w:val="22"/>
    </w:rPr>
  </w:style>
  <w:style w:type="paragraph" w:styleId="BalloonText">
    <w:name w:val="Balloon Text"/>
    <w:basedOn w:val="Normal"/>
    <w:link w:val="a1"/>
    <w:uiPriority w:val="99"/>
    <w:unhideWhenUsed/>
    <w:rPr>
      <w:sz w:val="18"/>
      <w:szCs w:val="18"/>
    </w:rPr>
  </w:style>
  <w:style w:type="paragraph" w:styleId="Footer">
    <w:name w:val="footer"/>
    <w:basedOn w:val="Normal"/>
    <w:link w:val="a2"/>
    <w:uiPriority w:val="99"/>
    <w:qFormat/>
    <w:pPr>
      <w:tabs>
        <w:tab w:val="center" w:pos="4153"/>
        <w:tab w:val="right" w:pos="8306"/>
      </w:tabs>
      <w:snapToGrid w:val="0"/>
      <w:jc w:val="left"/>
    </w:pPr>
    <w:rPr>
      <w:sz w:val="18"/>
      <w:szCs w:val="18"/>
    </w:rPr>
  </w:style>
  <w:style w:type="paragraph" w:styleId="Header">
    <w:name w:val="header"/>
    <w:basedOn w:val="Normal"/>
    <w:link w:val="a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pPr>
      <w:tabs>
        <w:tab w:val="right" w:leader="dot" w:pos="8777"/>
      </w:tabs>
      <w:spacing w:before="120" w:beforeLines="50" w:line="300" w:lineRule="auto"/>
    </w:pPr>
    <w:rPr>
      <w:rFonts w:ascii="宋体" w:eastAsia="宋体" w:hAnsi="宋体"/>
      <w:b/>
      <w:sz w:val="28"/>
      <w:szCs w:val="28"/>
    </w:rPr>
  </w:style>
  <w:style w:type="paragraph" w:styleId="TOC2">
    <w:name w:val="toc 2"/>
    <w:basedOn w:val="Normal"/>
    <w:next w:val="Normal"/>
    <w:uiPriority w:val="39"/>
    <w:unhideWhenUsed/>
    <w:qFormat/>
    <w:pPr>
      <w:tabs>
        <w:tab w:val="right" w:leader="dot" w:pos="8777"/>
      </w:tabs>
      <w:spacing w:line="300" w:lineRule="auto"/>
      <w:ind w:left="420" w:leftChars="200"/>
    </w:pPr>
    <w:rPr>
      <w:sz w:val="24"/>
      <w:szCs w:val="22"/>
    </w:rPr>
  </w:style>
  <w:style w:type="paragraph" w:styleId="BodyText2">
    <w:name w:val="Body Text 2"/>
    <w:basedOn w:val="Normal"/>
    <w:link w:val="20"/>
    <w:qFormat/>
    <w:pPr>
      <w:widowControl/>
      <w:jc w:val="center"/>
    </w:pPr>
    <w:rPr>
      <w:rFonts w:eastAsia="楷体_GB2312"/>
      <w:sz w:val="24"/>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a4"/>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PageNumber">
    <w:name w:val="page number"/>
    <w:qFormat/>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1">
    <w:name w:val="标题 1 字符"/>
    <w:link w:val="Heading1"/>
    <w:uiPriority w:val="9"/>
    <w:qFormat/>
    <w:rPr>
      <w:rFonts w:eastAsia="华文中宋"/>
      <w:b/>
      <w:bCs/>
      <w:kern w:val="44"/>
      <w:sz w:val="32"/>
      <w:szCs w:val="44"/>
    </w:rPr>
  </w:style>
  <w:style w:type="character" w:customStyle="1" w:styleId="2">
    <w:name w:val="标题 2 字符"/>
    <w:link w:val="Heading2"/>
    <w:uiPriority w:val="9"/>
    <w:qFormat/>
    <w:rPr>
      <w:b/>
      <w:bCs/>
      <w:kern w:val="2"/>
      <w:sz w:val="28"/>
      <w:szCs w:val="32"/>
    </w:rPr>
  </w:style>
  <w:style w:type="character" w:customStyle="1" w:styleId="3">
    <w:name w:val="标题 3 字符"/>
    <w:link w:val="Heading3"/>
    <w:uiPriority w:val="9"/>
    <w:qFormat/>
    <w:rPr>
      <w:b/>
      <w:bCs/>
      <w:kern w:val="2"/>
      <w:sz w:val="24"/>
      <w:szCs w:val="32"/>
    </w:rPr>
  </w:style>
  <w:style w:type="character" w:customStyle="1" w:styleId="a">
    <w:name w:val="批注文字 字符"/>
    <w:link w:val="CommentText"/>
    <w:qFormat/>
    <w:rPr>
      <w:kern w:val="2"/>
      <w:sz w:val="21"/>
      <w:szCs w:val="24"/>
    </w:rPr>
  </w:style>
  <w:style w:type="character" w:customStyle="1" w:styleId="a0">
    <w:name w:val="日期 字符"/>
    <w:link w:val="Date"/>
    <w:uiPriority w:val="99"/>
    <w:qFormat/>
    <w:rPr>
      <w:kern w:val="2"/>
      <w:sz w:val="24"/>
      <w:szCs w:val="22"/>
    </w:rPr>
  </w:style>
  <w:style w:type="character" w:customStyle="1" w:styleId="a1">
    <w:name w:val="批注框文本 字符"/>
    <w:link w:val="BalloonText"/>
    <w:uiPriority w:val="99"/>
    <w:qFormat/>
    <w:rPr>
      <w:kern w:val="2"/>
      <w:sz w:val="18"/>
      <w:szCs w:val="18"/>
    </w:rPr>
  </w:style>
  <w:style w:type="character" w:customStyle="1" w:styleId="a2">
    <w:name w:val="页脚 字符"/>
    <w:link w:val="Footer"/>
    <w:uiPriority w:val="99"/>
    <w:qFormat/>
    <w:rPr>
      <w:kern w:val="2"/>
      <w:sz w:val="18"/>
      <w:szCs w:val="18"/>
    </w:rPr>
  </w:style>
  <w:style w:type="character" w:customStyle="1" w:styleId="a3">
    <w:name w:val="页眉 字符"/>
    <w:link w:val="Header"/>
    <w:uiPriority w:val="99"/>
    <w:qFormat/>
    <w:rPr>
      <w:kern w:val="2"/>
      <w:sz w:val="18"/>
      <w:szCs w:val="18"/>
    </w:rPr>
  </w:style>
  <w:style w:type="character" w:customStyle="1" w:styleId="20">
    <w:name w:val="正文文本 2 字符"/>
    <w:link w:val="BodyText2"/>
    <w:qFormat/>
    <w:rPr>
      <w:rFonts w:eastAsia="楷体_GB2312"/>
      <w:kern w:val="2"/>
      <w:sz w:val="24"/>
      <w:szCs w:val="24"/>
    </w:rPr>
  </w:style>
  <w:style w:type="character" w:customStyle="1" w:styleId="a4">
    <w:name w:val="批注主题 字符"/>
    <w:link w:val="CommentSubject"/>
    <w:qFormat/>
    <w:rPr>
      <w:b/>
      <w:bCs/>
      <w:kern w:val="2"/>
      <w:sz w:val="21"/>
      <w:szCs w:val="24"/>
    </w:rPr>
  </w:style>
  <w:style w:type="paragraph" w:customStyle="1" w:styleId="Style34">
    <w:name w:val="_Style 34"/>
    <w:basedOn w:val="Heading1"/>
    <w:next w:val="Normal"/>
    <w:uiPriority w:val="39"/>
    <w:qFormat/>
    <w:pPr>
      <w:widowControl/>
      <w:spacing w:beforeLines="0" w:afterLines="0" w:line="276" w:lineRule="auto"/>
      <w:jc w:val="left"/>
      <w:outlineLvl w:val="9"/>
    </w:pPr>
    <w:rPr>
      <w:rFonts w:ascii="Cambria" w:eastAsia="宋体" w:hAnsi="Cambria"/>
      <w:color w:val="365F91"/>
      <w:kern w:val="0"/>
      <w:sz w:val="28"/>
      <w:szCs w:val="28"/>
    </w:rPr>
  </w:style>
  <w:style w:type="character" w:styleId="PlaceholderText">
    <w:name w:val="Placeholder Tex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644</Characters>
  <Application>Microsoft Office Word</Application>
  <DocSecurity>0</DocSecurity>
  <Lines>24</Lines>
  <Paragraphs>6</Paragraphs>
  <ScaleCrop>false</ScaleCrop>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果果不凡</cp:lastModifiedBy>
  <cp:revision>2</cp:revision>
  <cp:lastPrinted>2019-11-17T07:45:00Z</cp:lastPrinted>
  <dcterms:created xsi:type="dcterms:W3CDTF">2023-04-28T04:43:00Z</dcterms:created>
  <dcterms:modified xsi:type="dcterms:W3CDTF">2024-12-22T02:28:47Z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E0916CF764073647BF2C5C66974CA320_43</vt:lpwstr>
  </property>
  <property fmtid="{D5CDD505-2E9C-101B-9397-08002B2CF9AE}" pid="3" name="KSOProductBuildVer">
    <vt:lpwstr>2052-12.1.0.19302</vt:lpwstr>
  </property>
</Properties>
</file>